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A6BC3" w14:textId="77777777" w:rsidR="00000000" w:rsidRDefault="00DB4BBA">
      <w:bookmarkStart w:id="0" w:name="_GoBack"/>
      <w:bookmarkEnd w:id="0"/>
    </w:p>
    <w:tbl>
      <w:tblPr>
        <w:tblW w:w="9361" w:type="dxa"/>
        <w:tblInd w:w="-2019" w:type="dxa"/>
        <w:tblLook w:val="0000" w:firstRow="0" w:lastRow="0" w:firstColumn="0" w:lastColumn="0" w:noHBand="0" w:noVBand="0"/>
      </w:tblPr>
      <w:tblGrid>
        <w:gridCol w:w="9361"/>
      </w:tblGrid>
      <w:tr w:rsidR="00000000" w14:paraId="446C7005" w14:textId="77777777">
        <w:tblPrEx>
          <w:tblCellMar>
            <w:top w:w="0" w:type="dxa"/>
            <w:bottom w:w="0" w:type="dxa"/>
          </w:tblCellMar>
        </w:tblPrEx>
        <w:trPr>
          <w:trHeight w:val="4953"/>
        </w:trPr>
        <w:tc>
          <w:tcPr>
            <w:tcW w:w="9361" w:type="dxa"/>
          </w:tcPr>
          <w:p w14:paraId="7FC50562" w14:textId="190D1CBA" w:rsidR="00000000" w:rsidRDefault="00DB4BBA">
            <w:pPr>
              <w:ind w:left="175"/>
            </w:pPr>
            <w:r>
              <w:rPr>
                <w:noProof/>
                <w:lang w:eastAsia="en-AU"/>
              </w:rPr>
              <w:drawing>
                <wp:anchor distT="0" distB="0" distL="114300" distR="114300" simplePos="0" relativeHeight="251658240" behindDoc="0" locked="0" layoutInCell="1" allowOverlap="1" wp14:anchorId="3764BC4C" wp14:editId="123BBEA3">
                  <wp:simplePos x="0" y="0"/>
                  <wp:positionH relativeFrom="column">
                    <wp:posOffset>-86360</wp:posOffset>
                  </wp:positionH>
                  <wp:positionV relativeFrom="paragraph">
                    <wp:posOffset>2363470</wp:posOffset>
                  </wp:positionV>
                  <wp:extent cx="5943600" cy="69088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lum bright="12000"/>
                            <a:extLst>
                              <a:ext uri="{28A0092B-C50C-407E-A947-70E740481C1C}">
                                <a14:useLocalDpi xmlns:a14="http://schemas.microsoft.com/office/drawing/2010/main" val="0"/>
                              </a:ext>
                            </a:extLst>
                          </a:blip>
                          <a:srcRect/>
                          <a:stretch>
                            <a:fillRect/>
                          </a:stretch>
                        </pic:blipFill>
                        <pic:spPr bwMode="auto">
                          <a:xfrm>
                            <a:off x="0" y="0"/>
                            <a:ext cx="5943600" cy="6908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00000" w14:paraId="4C35FCFA" w14:textId="77777777">
        <w:tblPrEx>
          <w:tblCellMar>
            <w:top w:w="0" w:type="dxa"/>
            <w:bottom w:w="0" w:type="dxa"/>
          </w:tblCellMar>
        </w:tblPrEx>
        <w:trPr>
          <w:trHeight w:hRule="exact" w:val="4961"/>
        </w:trPr>
        <w:tc>
          <w:tcPr>
            <w:tcW w:w="9361" w:type="dxa"/>
            <w:shd w:val="pct15" w:color="auto" w:fill="800000"/>
          </w:tcPr>
          <w:p w14:paraId="0F124D8E" w14:textId="77777777" w:rsidR="00000000" w:rsidRDefault="00DB4BBA">
            <w:pPr>
              <w:ind w:left="175"/>
              <w:rPr>
                <w:b/>
                <w:color w:val="FFFFFF"/>
                <w:sz w:val="44"/>
              </w:rPr>
            </w:pPr>
          </w:p>
        </w:tc>
      </w:tr>
      <w:tr w:rsidR="00000000" w14:paraId="6B90C80A" w14:textId="77777777">
        <w:tblPrEx>
          <w:tblCellMar>
            <w:top w:w="0" w:type="dxa"/>
            <w:bottom w:w="0" w:type="dxa"/>
          </w:tblCellMar>
        </w:tblPrEx>
        <w:trPr>
          <w:trHeight w:hRule="exact" w:val="1531"/>
        </w:trPr>
        <w:tc>
          <w:tcPr>
            <w:tcW w:w="9361" w:type="dxa"/>
            <w:shd w:val="pct15" w:color="auto" w:fill="800000"/>
            <w:vAlign w:val="center"/>
          </w:tcPr>
          <w:p w14:paraId="4E36EC18" w14:textId="77777777" w:rsidR="00000000" w:rsidRDefault="00DB4BBA">
            <w:pPr>
              <w:ind w:left="175"/>
              <w:rPr>
                <w:b/>
                <w:color w:val="FFFFFF"/>
                <w:sz w:val="44"/>
              </w:rPr>
            </w:pPr>
            <w:r>
              <w:rPr>
                <w:b/>
                <w:color w:val="FFFFFF"/>
                <w:sz w:val="44"/>
              </w:rPr>
              <w:t>WELS Expansion — Domestic Irrigation Controllers</w:t>
            </w:r>
          </w:p>
          <w:p w14:paraId="2C0C366D" w14:textId="77777777" w:rsidR="00000000" w:rsidRDefault="00DB4BBA">
            <w:pPr>
              <w:rPr>
                <w:rFonts w:ascii="Times New Roman" w:hAnsi="Times New Roman"/>
                <w:b/>
                <w:color w:val="FFFFFF"/>
                <w:sz w:val="44"/>
              </w:rPr>
            </w:pPr>
          </w:p>
        </w:tc>
      </w:tr>
      <w:tr w:rsidR="00000000" w14:paraId="24F3C1D6" w14:textId="77777777">
        <w:tblPrEx>
          <w:tblCellMar>
            <w:top w:w="0" w:type="dxa"/>
            <w:bottom w:w="0" w:type="dxa"/>
          </w:tblCellMar>
        </w:tblPrEx>
        <w:trPr>
          <w:trHeight w:hRule="exact" w:val="760"/>
        </w:trPr>
        <w:tc>
          <w:tcPr>
            <w:tcW w:w="9361" w:type="dxa"/>
            <w:shd w:val="pct15" w:color="auto" w:fill="800000"/>
            <w:vAlign w:val="center"/>
          </w:tcPr>
          <w:p w14:paraId="2C571CAC" w14:textId="77777777" w:rsidR="00000000" w:rsidRDefault="00DB4BBA">
            <w:pPr>
              <w:ind w:left="175"/>
              <w:rPr>
                <w:color w:val="FFFFFF"/>
                <w:sz w:val="32"/>
              </w:rPr>
            </w:pPr>
          </w:p>
        </w:tc>
      </w:tr>
      <w:tr w:rsidR="00000000" w14:paraId="1984585A" w14:textId="77777777">
        <w:tblPrEx>
          <w:tblCellMar>
            <w:top w:w="0" w:type="dxa"/>
            <w:bottom w:w="0" w:type="dxa"/>
          </w:tblCellMar>
        </w:tblPrEx>
        <w:trPr>
          <w:trHeight w:hRule="exact" w:val="190"/>
        </w:trPr>
        <w:tc>
          <w:tcPr>
            <w:tcW w:w="9361" w:type="dxa"/>
          </w:tcPr>
          <w:p w14:paraId="365FEFEE" w14:textId="77777777" w:rsidR="00000000" w:rsidRDefault="00DB4BBA">
            <w:pPr>
              <w:ind w:left="175"/>
            </w:pPr>
          </w:p>
        </w:tc>
      </w:tr>
      <w:tr w:rsidR="00000000" w14:paraId="05EAFC0F" w14:textId="77777777">
        <w:tblPrEx>
          <w:tblCellMar>
            <w:top w:w="0" w:type="dxa"/>
            <w:bottom w:w="0" w:type="dxa"/>
          </w:tblCellMar>
        </w:tblPrEx>
        <w:trPr>
          <w:trHeight w:hRule="exact" w:val="1083"/>
        </w:trPr>
        <w:tc>
          <w:tcPr>
            <w:tcW w:w="9361" w:type="dxa"/>
            <w:shd w:val="clear" w:color="auto" w:fill="CFCED3"/>
          </w:tcPr>
          <w:p w14:paraId="053E34D6" w14:textId="77777777" w:rsidR="00000000" w:rsidRDefault="00DB4BBA">
            <w:pPr>
              <w:pStyle w:val="TPDate"/>
              <w:rPr>
                <w:color w:val="700000"/>
              </w:rPr>
            </w:pPr>
            <w:r>
              <w:rPr>
                <w:color w:val="700000"/>
              </w:rPr>
              <w:t>November 2009</w:t>
            </w:r>
          </w:p>
          <w:p w14:paraId="3E7DBBCD" w14:textId="77777777" w:rsidR="00000000" w:rsidRDefault="00DB4BBA">
            <w:pPr>
              <w:pStyle w:val="TPDate"/>
              <w:rPr>
                <w:b w:val="0"/>
                <w:color w:val="8C2911"/>
              </w:rPr>
            </w:pPr>
            <w:r>
              <w:rPr>
                <w:b w:val="0"/>
                <w:color w:val="700000"/>
              </w:rPr>
              <w:t>Report to the Department of the Environment, Water, Heritage and the Arts</w:t>
            </w:r>
          </w:p>
          <w:p w14:paraId="789A7AF1" w14:textId="77777777" w:rsidR="00000000" w:rsidRDefault="00DB4BBA">
            <w:pPr>
              <w:pStyle w:val="TableBodyText"/>
              <w:spacing w:before="40" w:after="360" w:line="240" w:lineRule="atLeast"/>
            </w:pPr>
          </w:p>
          <w:p w14:paraId="596B56BA" w14:textId="77777777" w:rsidR="00000000" w:rsidRDefault="00DB4BBA">
            <w:pPr>
              <w:ind w:left="175"/>
            </w:pPr>
          </w:p>
        </w:tc>
      </w:tr>
    </w:tbl>
    <w:p w14:paraId="22D480CD" w14:textId="77777777" w:rsidR="00000000" w:rsidRDefault="00DB4BBA">
      <w:pPr>
        <w:pStyle w:val="Header"/>
        <w:sectPr w:rsidR="00000000">
          <w:headerReference w:type="default" r:id="rId11"/>
          <w:headerReference w:type="first" r:id="rId12"/>
          <w:pgSz w:w="11901" w:h="16840"/>
          <w:pgMar w:top="851" w:right="844" w:bottom="851" w:left="2268" w:header="454" w:footer="454" w:gutter="1418"/>
          <w:cols w:space="708"/>
        </w:sectPr>
      </w:pPr>
    </w:p>
    <w:p w14:paraId="4D5DF889" w14:textId="77777777" w:rsidR="00000000" w:rsidRDefault="00DB4BBA">
      <w:pPr>
        <w:pStyle w:val="Text"/>
      </w:pPr>
    </w:p>
    <w:p w14:paraId="29148539" w14:textId="77777777" w:rsidR="00000000" w:rsidRDefault="00DB4BBA"/>
    <w:p w14:paraId="1347B34D" w14:textId="52B0411B" w:rsidR="00000000" w:rsidRDefault="00DB4BBA">
      <w:pPr>
        <w:spacing w:line="360" w:lineRule="auto"/>
        <w:ind w:right="3600"/>
      </w:pPr>
      <w:r>
        <w:rPr>
          <w:noProof/>
          <w:lang w:eastAsia="en-AU"/>
        </w:rPr>
        <w:drawing>
          <wp:inline distT="0" distB="0" distL="0" distR="0" wp14:anchorId="2E988A80" wp14:editId="23A02B77">
            <wp:extent cx="2686050"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6050" cy="238125"/>
                    </a:xfrm>
                    <a:prstGeom prst="rect">
                      <a:avLst/>
                    </a:prstGeom>
                    <a:noFill/>
                    <a:ln>
                      <a:noFill/>
                    </a:ln>
                  </pic:spPr>
                </pic:pic>
              </a:graphicData>
            </a:graphic>
          </wp:inline>
        </w:drawing>
      </w:r>
    </w:p>
    <w:p w14:paraId="40B65169" w14:textId="77777777" w:rsidR="00000000" w:rsidRDefault="00DB4BBA">
      <w:pPr>
        <w:spacing w:line="360" w:lineRule="auto"/>
        <w:ind w:right="3600"/>
        <w:rPr>
          <w:sz w:val="18"/>
        </w:rPr>
      </w:pPr>
      <w:r>
        <w:rPr>
          <w:sz w:val="18"/>
        </w:rPr>
        <w:t>The Allen Consulting Group Pty Ltd</w:t>
      </w:r>
    </w:p>
    <w:p w14:paraId="2D5E0B14" w14:textId="77777777" w:rsidR="00000000" w:rsidRDefault="00DB4BBA">
      <w:pPr>
        <w:spacing w:after="40" w:line="360" w:lineRule="auto"/>
        <w:ind w:right="3599"/>
        <w:rPr>
          <w:sz w:val="18"/>
        </w:rPr>
      </w:pPr>
      <w:r>
        <w:rPr>
          <w:sz w:val="18"/>
        </w:rPr>
        <w:t>ACN 007 061 930, ABN  52 007 061 930</w:t>
      </w:r>
    </w:p>
    <w:p w14:paraId="0BDBC141" w14:textId="77777777" w:rsidR="00000000" w:rsidRDefault="00DB4BBA">
      <w:pPr>
        <w:spacing w:after="40"/>
        <w:ind w:right="3600"/>
        <w:rPr>
          <w:sz w:val="18"/>
        </w:rPr>
      </w:pPr>
    </w:p>
    <w:p w14:paraId="08919CEE" w14:textId="77777777" w:rsidR="00000000" w:rsidRDefault="00DB4BBA">
      <w:pPr>
        <w:pBdr>
          <w:bottom w:val="single" w:sz="2" w:space="1" w:color="auto"/>
        </w:pBdr>
        <w:spacing w:before="300" w:line="360" w:lineRule="atLeast"/>
        <w:ind w:right="57"/>
        <w:rPr>
          <w:color w:val="800000"/>
          <w:sz w:val="18"/>
        </w:rPr>
      </w:pPr>
      <w:r>
        <w:rPr>
          <w:color w:val="800000"/>
          <w:sz w:val="18"/>
        </w:rPr>
        <w:t>Melbourne</w:t>
      </w:r>
    </w:p>
    <w:p w14:paraId="553E006B" w14:textId="77777777" w:rsidR="00000000" w:rsidRDefault="00DB4BBA">
      <w:pPr>
        <w:pStyle w:val="TableText"/>
        <w:keepNext w:val="0"/>
        <w:spacing w:before="0" w:after="0" w:line="280" w:lineRule="atLeast"/>
      </w:pPr>
      <w:r>
        <w:t>Level 9, 60 Collins St</w:t>
      </w:r>
    </w:p>
    <w:p w14:paraId="46A2FE49" w14:textId="77777777" w:rsidR="00000000" w:rsidRDefault="00DB4BBA">
      <w:pPr>
        <w:pStyle w:val="TableText"/>
        <w:keepNext w:val="0"/>
        <w:spacing w:before="0" w:after="0" w:line="280" w:lineRule="atLeast"/>
      </w:pPr>
      <w:r>
        <w:t>Melbourne VIC 3000</w:t>
      </w:r>
    </w:p>
    <w:p w14:paraId="76020232" w14:textId="77777777" w:rsidR="00000000" w:rsidRDefault="00DB4BBA">
      <w:pPr>
        <w:pStyle w:val="TableText"/>
        <w:keepNext w:val="0"/>
        <w:spacing w:before="0" w:after="0" w:line="280" w:lineRule="atLeast"/>
      </w:pPr>
      <w:r>
        <w:t>Telephone: (61-3) 8650 6000</w:t>
      </w:r>
    </w:p>
    <w:p w14:paraId="461B2389" w14:textId="77777777" w:rsidR="00000000" w:rsidRDefault="00DB4BBA">
      <w:pPr>
        <w:pStyle w:val="TableText"/>
        <w:keepNext w:val="0"/>
        <w:spacing w:before="0" w:after="0" w:line="280" w:lineRule="atLeast"/>
      </w:pPr>
      <w:r>
        <w:t>Facsimile: (61-3) 9654 6363</w:t>
      </w:r>
    </w:p>
    <w:p w14:paraId="1A2F23DA" w14:textId="77777777" w:rsidR="00000000" w:rsidRDefault="00DB4BBA">
      <w:pPr>
        <w:pBdr>
          <w:bottom w:val="single" w:sz="2" w:space="1" w:color="auto"/>
        </w:pBdr>
        <w:spacing w:before="300" w:line="360" w:lineRule="atLeast"/>
        <w:ind w:right="57"/>
        <w:rPr>
          <w:color w:val="800000"/>
          <w:sz w:val="18"/>
        </w:rPr>
      </w:pPr>
      <w:r>
        <w:rPr>
          <w:color w:val="800000"/>
          <w:sz w:val="18"/>
        </w:rPr>
        <w:t>Sydney</w:t>
      </w:r>
    </w:p>
    <w:p w14:paraId="1D7F16F3" w14:textId="77777777" w:rsidR="00000000" w:rsidRDefault="00DB4BBA">
      <w:pPr>
        <w:pStyle w:val="TableText"/>
        <w:keepNext w:val="0"/>
        <w:spacing w:before="0" w:after="0" w:line="280" w:lineRule="atLeast"/>
      </w:pPr>
      <w:r>
        <w:t>Level 12, 210 George St</w:t>
      </w:r>
    </w:p>
    <w:p w14:paraId="2FA016F6" w14:textId="77777777" w:rsidR="00000000" w:rsidRDefault="00DB4BBA">
      <w:pPr>
        <w:pStyle w:val="TableText"/>
        <w:keepNext w:val="0"/>
        <w:spacing w:before="0" w:after="0" w:line="280" w:lineRule="atLeast"/>
      </w:pPr>
      <w:r>
        <w:t xml:space="preserve">Sydney NSW 2000 </w:t>
      </w:r>
    </w:p>
    <w:p w14:paraId="2B9D9510" w14:textId="77777777" w:rsidR="00000000" w:rsidRDefault="00DB4BBA">
      <w:pPr>
        <w:pStyle w:val="TableText"/>
        <w:keepNext w:val="0"/>
        <w:spacing w:before="0" w:after="0" w:line="280" w:lineRule="atLeast"/>
      </w:pPr>
      <w:r>
        <w:t>Telephone: (61-2) 8272 5100</w:t>
      </w:r>
    </w:p>
    <w:p w14:paraId="576C5B68" w14:textId="77777777" w:rsidR="00000000" w:rsidRDefault="00DB4BBA">
      <w:pPr>
        <w:pStyle w:val="TableText"/>
        <w:keepNext w:val="0"/>
        <w:spacing w:before="0" w:after="0" w:line="280" w:lineRule="atLeast"/>
      </w:pPr>
      <w:r>
        <w:t>Facsimile: (61-2) 9247 2455</w:t>
      </w:r>
    </w:p>
    <w:p w14:paraId="72FB8164" w14:textId="77777777" w:rsidR="00000000" w:rsidRDefault="00DB4BBA">
      <w:pPr>
        <w:pBdr>
          <w:bottom w:val="single" w:sz="2" w:space="1" w:color="auto"/>
        </w:pBdr>
        <w:spacing w:before="300" w:line="360" w:lineRule="atLeast"/>
        <w:ind w:right="57"/>
        <w:rPr>
          <w:color w:val="800000"/>
          <w:sz w:val="18"/>
        </w:rPr>
      </w:pPr>
      <w:r>
        <w:rPr>
          <w:color w:val="800000"/>
          <w:sz w:val="18"/>
        </w:rPr>
        <w:t>Canberra</w:t>
      </w:r>
    </w:p>
    <w:p w14:paraId="359FC6A6" w14:textId="77777777" w:rsidR="00000000" w:rsidRDefault="00DB4BBA">
      <w:pPr>
        <w:pStyle w:val="TableText"/>
        <w:keepNext w:val="0"/>
        <w:spacing w:before="0" w:after="0" w:line="280" w:lineRule="atLeast"/>
      </w:pPr>
      <w:r>
        <w:t>Empire Chambers, Level 2, 1-13 University Ave</w:t>
      </w:r>
    </w:p>
    <w:p w14:paraId="4D94A8BE" w14:textId="77777777" w:rsidR="00000000" w:rsidRDefault="00DB4BBA">
      <w:pPr>
        <w:pStyle w:val="TableText"/>
        <w:keepNext w:val="0"/>
        <w:spacing w:before="0" w:after="0" w:line="280" w:lineRule="atLeast"/>
      </w:pPr>
      <w:r>
        <w:t xml:space="preserve">Canberra ACT 2600 </w:t>
      </w:r>
    </w:p>
    <w:p w14:paraId="5B1A6414" w14:textId="77777777" w:rsidR="00000000" w:rsidRDefault="00DB4BBA">
      <w:pPr>
        <w:pStyle w:val="TableText"/>
        <w:keepNext w:val="0"/>
        <w:spacing w:before="0" w:after="0" w:line="280" w:lineRule="atLeast"/>
      </w:pPr>
      <w:r>
        <w:t>GPO Box 418, Canberra ACT 2601</w:t>
      </w:r>
    </w:p>
    <w:p w14:paraId="1E7E320D" w14:textId="77777777" w:rsidR="00000000" w:rsidRDefault="00DB4BBA">
      <w:pPr>
        <w:pStyle w:val="TableText"/>
        <w:keepNext w:val="0"/>
        <w:spacing w:before="0" w:after="0" w:line="280" w:lineRule="atLeast"/>
      </w:pPr>
      <w:r>
        <w:t>Telephone: (61-2) 6204 6500</w:t>
      </w:r>
    </w:p>
    <w:p w14:paraId="6A52EDF1" w14:textId="77777777" w:rsidR="00000000" w:rsidRDefault="00DB4BBA">
      <w:pPr>
        <w:spacing w:line="280" w:lineRule="atLeast"/>
        <w:ind w:right="57"/>
        <w:rPr>
          <w:color w:val="800000"/>
          <w:sz w:val="18"/>
        </w:rPr>
      </w:pPr>
      <w:r>
        <w:rPr>
          <w:sz w:val="18"/>
        </w:rPr>
        <w:t>Facsimile: (61-2) 6230 0149</w:t>
      </w:r>
      <w:r>
        <w:rPr>
          <w:color w:val="800000"/>
          <w:sz w:val="18"/>
        </w:rPr>
        <w:t xml:space="preserve"> </w:t>
      </w:r>
    </w:p>
    <w:p w14:paraId="0A7F32DC" w14:textId="77777777" w:rsidR="00000000" w:rsidRDefault="00DB4BBA">
      <w:pPr>
        <w:pBdr>
          <w:bottom w:val="single" w:sz="2" w:space="1" w:color="auto"/>
        </w:pBdr>
        <w:spacing w:before="300" w:line="360" w:lineRule="atLeast"/>
        <w:ind w:right="57"/>
        <w:rPr>
          <w:color w:val="800000"/>
          <w:sz w:val="18"/>
        </w:rPr>
      </w:pPr>
      <w:r>
        <w:rPr>
          <w:color w:val="800000"/>
          <w:sz w:val="18"/>
        </w:rPr>
        <w:t>Online</w:t>
      </w:r>
    </w:p>
    <w:p w14:paraId="4CCEE282" w14:textId="77777777" w:rsidR="00000000" w:rsidRDefault="00DB4BBA">
      <w:pPr>
        <w:spacing w:line="280" w:lineRule="atLeast"/>
        <w:ind w:right="57"/>
        <w:rPr>
          <w:sz w:val="18"/>
        </w:rPr>
      </w:pPr>
      <w:r>
        <w:rPr>
          <w:sz w:val="18"/>
        </w:rPr>
        <w:t>Email: info@al</w:t>
      </w:r>
      <w:r>
        <w:rPr>
          <w:sz w:val="18"/>
        </w:rPr>
        <w:t>lenconsult.com.au</w:t>
      </w:r>
    </w:p>
    <w:p w14:paraId="37D48518" w14:textId="77777777" w:rsidR="00000000" w:rsidRDefault="00DB4BBA">
      <w:pPr>
        <w:spacing w:after="40" w:line="280" w:lineRule="atLeast"/>
        <w:ind w:right="3600"/>
        <w:rPr>
          <w:sz w:val="18"/>
        </w:rPr>
      </w:pPr>
      <w:r>
        <w:rPr>
          <w:sz w:val="18"/>
        </w:rPr>
        <w:t>Website: www.allenconsult.com.au</w:t>
      </w:r>
    </w:p>
    <w:p w14:paraId="6F02CAD3" w14:textId="77777777" w:rsidR="00000000" w:rsidRDefault="00DB4BBA">
      <w:pPr>
        <w:spacing w:after="40" w:line="280" w:lineRule="atLeast"/>
        <w:ind w:right="3600"/>
        <w:rPr>
          <w:sz w:val="18"/>
        </w:rPr>
      </w:pPr>
    </w:p>
    <w:p w14:paraId="592BEA13" w14:textId="77777777" w:rsidR="00000000" w:rsidRDefault="00DB4BBA">
      <w:pPr>
        <w:ind w:right="56"/>
        <w:jc w:val="both"/>
        <w:rPr>
          <w:sz w:val="18"/>
        </w:rPr>
      </w:pPr>
    </w:p>
    <w:p w14:paraId="04BFCAA0" w14:textId="77777777" w:rsidR="00000000" w:rsidRDefault="00DB4BBA">
      <w:pPr>
        <w:spacing w:after="40" w:line="320" w:lineRule="atLeast"/>
        <w:ind w:right="3316"/>
        <w:jc w:val="both"/>
        <w:rPr>
          <w:color w:val="800000"/>
          <w:sz w:val="18"/>
        </w:rPr>
      </w:pPr>
      <w:r>
        <w:rPr>
          <w:color w:val="800000"/>
          <w:sz w:val="18"/>
        </w:rPr>
        <w:t>Disclaimer:</w:t>
      </w:r>
    </w:p>
    <w:p w14:paraId="4CCD08EF" w14:textId="77777777" w:rsidR="00000000" w:rsidRDefault="00DB4BBA">
      <w:pPr>
        <w:ind w:right="56"/>
        <w:jc w:val="both"/>
        <w:rPr>
          <w:sz w:val="18"/>
        </w:rPr>
      </w:pPr>
      <w:r>
        <w:rPr>
          <w:sz w:val="18"/>
        </w:rPr>
        <w:t>While the Allen Consulting Group endeavours to provide reliable analysis and b</w:t>
      </w:r>
      <w:r>
        <w:rPr>
          <w:sz w:val="18"/>
        </w:rPr>
        <w:t>elieves the material it presents is accurate, it will not be liable for any claim by any party acting on such information.</w:t>
      </w:r>
    </w:p>
    <w:p w14:paraId="70DC8420" w14:textId="77777777" w:rsidR="00000000" w:rsidRDefault="00DB4BBA">
      <w:pPr>
        <w:spacing w:after="40" w:line="280" w:lineRule="atLeast"/>
        <w:ind w:right="3600"/>
        <w:rPr>
          <w:sz w:val="18"/>
        </w:rPr>
      </w:pPr>
    </w:p>
    <w:p w14:paraId="56C5AE85" w14:textId="77777777" w:rsidR="00000000" w:rsidRDefault="00DB4BBA">
      <w:pPr>
        <w:rPr>
          <w:sz w:val="18"/>
        </w:rPr>
      </w:pPr>
      <w:r>
        <w:rPr>
          <w:sz w:val="18"/>
        </w:rPr>
        <w:t>© The Allen Consulting Group 2009</w:t>
      </w:r>
    </w:p>
    <w:p w14:paraId="78C4F78F" w14:textId="77777777" w:rsidR="00000000" w:rsidRDefault="00DB4BBA">
      <w:pPr>
        <w:spacing w:after="40" w:line="320" w:lineRule="atLeast"/>
        <w:ind w:right="3316"/>
      </w:pPr>
    </w:p>
    <w:p w14:paraId="375A2196" w14:textId="77777777" w:rsidR="00000000" w:rsidRDefault="00DB4BBA">
      <w:pPr>
        <w:pStyle w:val="Text"/>
        <w:sectPr w:rsidR="00000000">
          <w:headerReference w:type="default" r:id="rId14"/>
          <w:footerReference w:type="default" r:id="rId15"/>
          <w:pgSz w:w="11899" w:h="16838"/>
          <w:pgMar w:top="851" w:right="794" w:bottom="851" w:left="2268" w:header="454" w:footer="454" w:gutter="1418"/>
          <w:pgNumType w:fmt="lowerRoman"/>
          <w:cols w:space="720"/>
        </w:sectPr>
      </w:pPr>
    </w:p>
    <w:p w14:paraId="17C73C0E" w14:textId="77777777" w:rsidR="00000000" w:rsidRDefault="00DB4BBA">
      <w:pPr>
        <w:pStyle w:val="TOCHeading"/>
      </w:pPr>
      <w:r>
        <w:lastRenderedPageBreak/>
        <w:t>Contents</w:t>
      </w:r>
    </w:p>
    <w:p w14:paraId="5157A047" w14:textId="77777777" w:rsidR="00000000" w:rsidRDefault="00DB4BBA">
      <w:pPr>
        <w:pStyle w:val="TOC1"/>
        <w:rPr>
          <w:sz w:val="24"/>
          <w:szCs w:val="24"/>
          <w:lang w:val="en-US"/>
        </w:rPr>
      </w:pPr>
      <w:r>
        <w:rPr>
          <w:i/>
        </w:rPr>
        <w:fldChar w:fldCharType="begin"/>
      </w:r>
      <w:r>
        <w:rPr>
          <w:i/>
        </w:rPr>
        <w:instrText xml:space="preserve"> TOC \o "1-1" \t "Heading 2,2,Heading 3,3,Heading2NoNumbe</w:instrText>
      </w:r>
      <w:r>
        <w:rPr>
          <w:i/>
        </w:rPr>
        <w:instrText xml:space="preserve">r,2,Heading3NoNumber,3,AppendixHeading3,3,AppendixHeading2,2" </w:instrText>
      </w:r>
      <w:r>
        <w:rPr>
          <w:i/>
        </w:rPr>
        <w:fldChar w:fldCharType="separate"/>
      </w:r>
      <w:r>
        <w:t>Chapter 1</w:t>
      </w:r>
      <w:r>
        <w:tab/>
      </w:r>
      <w:r>
        <w:fldChar w:fldCharType="begin"/>
      </w:r>
      <w:r>
        <w:instrText xml:space="preserve"> PAGEREF _Toc118523872 \h </w:instrText>
      </w:r>
      <w:r>
        <w:fldChar w:fldCharType="separate"/>
      </w:r>
      <w:r>
        <w:t>1</w:t>
      </w:r>
      <w:r>
        <w:fldChar w:fldCharType="end"/>
      </w:r>
    </w:p>
    <w:p w14:paraId="29ACB0AA" w14:textId="77777777" w:rsidR="00000000" w:rsidRDefault="00DB4BBA">
      <w:pPr>
        <w:pStyle w:val="TOC2"/>
        <w:rPr>
          <w:i w:val="0"/>
          <w:szCs w:val="24"/>
          <w:lang w:val="en-US"/>
        </w:rPr>
      </w:pPr>
      <w:r>
        <w:t>Introduction</w:t>
      </w:r>
      <w:r>
        <w:tab/>
      </w:r>
      <w:r>
        <w:fldChar w:fldCharType="begin"/>
      </w:r>
      <w:r>
        <w:instrText xml:space="preserve"> PAGEREF _Toc118523873 \h </w:instrText>
      </w:r>
      <w:r>
        <w:fldChar w:fldCharType="separate"/>
      </w:r>
      <w:r>
        <w:t>1</w:t>
      </w:r>
      <w:r>
        <w:fldChar w:fldCharType="end"/>
      </w:r>
    </w:p>
    <w:p w14:paraId="610240AC" w14:textId="77777777" w:rsidR="00000000" w:rsidRDefault="00DB4BBA">
      <w:pPr>
        <w:pStyle w:val="TOC3"/>
        <w:tabs>
          <w:tab w:val="left" w:pos="1085"/>
        </w:tabs>
        <w:rPr>
          <w:rFonts w:ascii="Times New Roman" w:hAnsi="Times New Roman"/>
          <w:sz w:val="24"/>
          <w:szCs w:val="24"/>
          <w:lang w:val="en-US"/>
        </w:rPr>
      </w:pPr>
      <w:r>
        <w:rPr>
          <w:lang w:val="en-GB"/>
        </w:rPr>
        <w:t>1.1</w:t>
      </w:r>
      <w:r>
        <w:rPr>
          <w:rFonts w:ascii="Times New Roman" w:hAnsi="Times New Roman"/>
          <w:sz w:val="24"/>
          <w:szCs w:val="24"/>
          <w:lang w:val="en-US"/>
        </w:rPr>
        <w:tab/>
      </w:r>
      <w:r>
        <w:rPr>
          <w:lang w:val="en-GB"/>
        </w:rPr>
        <w:t>Water in Australia</w:t>
      </w:r>
      <w:r>
        <w:tab/>
      </w:r>
      <w:r>
        <w:fldChar w:fldCharType="begin"/>
      </w:r>
      <w:r>
        <w:instrText xml:space="preserve"> PAGEREF _Toc118523874 \h </w:instrText>
      </w:r>
      <w:r>
        <w:fldChar w:fldCharType="separate"/>
      </w:r>
      <w:r>
        <w:t>1</w:t>
      </w:r>
      <w:r>
        <w:fldChar w:fldCharType="end"/>
      </w:r>
    </w:p>
    <w:p w14:paraId="2E77FB4D" w14:textId="77777777" w:rsidR="00000000" w:rsidRDefault="00DB4BBA">
      <w:pPr>
        <w:pStyle w:val="TOC3"/>
        <w:tabs>
          <w:tab w:val="left" w:pos="1085"/>
        </w:tabs>
        <w:rPr>
          <w:rFonts w:ascii="Times New Roman" w:hAnsi="Times New Roman"/>
          <w:sz w:val="24"/>
          <w:szCs w:val="24"/>
          <w:lang w:val="en-US"/>
        </w:rPr>
      </w:pPr>
      <w:r>
        <w:rPr>
          <w:lang w:val="en-GB"/>
        </w:rPr>
        <w:t>1.2</w:t>
      </w:r>
      <w:r>
        <w:rPr>
          <w:rFonts w:ascii="Times New Roman" w:hAnsi="Times New Roman"/>
          <w:sz w:val="24"/>
          <w:szCs w:val="24"/>
          <w:lang w:val="en-US"/>
        </w:rPr>
        <w:tab/>
      </w:r>
      <w:r>
        <w:rPr>
          <w:lang w:val="en-GB"/>
        </w:rPr>
        <w:t>Water Efficiency Labelling and Standards Scheme</w:t>
      </w:r>
      <w:r>
        <w:tab/>
      </w:r>
      <w:r>
        <w:fldChar w:fldCharType="begin"/>
      </w:r>
      <w:r>
        <w:instrText xml:space="preserve"> PAGEREF _Toc118523875 \h </w:instrText>
      </w:r>
      <w:r>
        <w:fldChar w:fldCharType="separate"/>
      </w:r>
      <w:r>
        <w:t>2</w:t>
      </w:r>
      <w:r>
        <w:fldChar w:fldCharType="end"/>
      </w:r>
    </w:p>
    <w:p w14:paraId="4BF07344" w14:textId="77777777" w:rsidR="00000000" w:rsidRDefault="00DB4BBA">
      <w:pPr>
        <w:pStyle w:val="TOC3"/>
        <w:tabs>
          <w:tab w:val="left" w:pos="1085"/>
        </w:tabs>
        <w:rPr>
          <w:rFonts w:ascii="Times New Roman" w:hAnsi="Times New Roman"/>
          <w:sz w:val="24"/>
          <w:szCs w:val="24"/>
          <w:lang w:val="en-US"/>
        </w:rPr>
      </w:pPr>
      <w:r>
        <w:rPr>
          <w:lang w:val="en-GB"/>
        </w:rPr>
        <w:t>1.3</w:t>
      </w:r>
      <w:r>
        <w:rPr>
          <w:rFonts w:ascii="Times New Roman" w:hAnsi="Times New Roman"/>
          <w:sz w:val="24"/>
          <w:szCs w:val="24"/>
          <w:lang w:val="en-US"/>
        </w:rPr>
        <w:tab/>
      </w:r>
      <w:r>
        <w:rPr>
          <w:lang w:val="en-GB"/>
        </w:rPr>
        <w:t>Expanding the WELS program</w:t>
      </w:r>
      <w:r>
        <w:tab/>
      </w:r>
      <w:r>
        <w:fldChar w:fldCharType="begin"/>
      </w:r>
      <w:r>
        <w:instrText xml:space="preserve"> PAGEREF _Toc118523876 \h </w:instrText>
      </w:r>
      <w:r>
        <w:fldChar w:fldCharType="separate"/>
      </w:r>
      <w:r>
        <w:t>3</w:t>
      </w:r>
      <w:r>
        <w:fldChar w:fldCharType="end"/>
      </w:r>
    </w:p>
    <w:p w14:paraId="6282DDAE" w14:textId="77777777" w:rsidR="00000000" w:rsidRDefault="00DB4BBA">
      <w:pPr>
        <w:pStyle w:val="TOC3"/>
        <w:tabs>
          <w:tab w:val="left" w:pos="1085"/>
        </w:tabs>
        <w:rPr>
          <w:rFonts w:ascii="Times New Roman" w:hAnsi="Times New Roman"/>
          <w:sz w:val="24"/>
          <w:szCs w:val="24"/>
          <w:lang w:val="en-US"/>
        </w:rPr>
      </w:pPr>
      <w:r>
        <w:rPr>
          <w:lang w:val="en-GB"/>
        </w:rPr>
        <w:t>1.4</w:t>
      </w:r>
      <w:r>
        <w:rPr>
          <w:rFonts w:ascii="Times New Roman" w:hAnsi="Times New Roman"/>
          <w:sz w:val="24"/>
          <w:szCs w:val="24"/>
          <w:lang w:val="en-US"/>
        </w:rPr>
        <w:tab/>
      </w:r>
      <w:r>
        <w:rPr>
          <w:lang w:val="en-GB"/>
        </w:rPr>
        <w:t>This report</w:t>
      </w:r>
      <w:r>
        <w:tab/>
      </w:r>
      <w:r>
        <w:fldChar w:fldCharType="begin"/>
      </w:r>
      <w:r>
        <w:instrText xml:space="preserve"> PAGEREF _Toc118523877 \h </w:instrText>
      </w:r>
      <w:r>
        <w:fldChar w:fldCharType="separate"/>
      </w:r>
      <w:r>
        <w:t>4</w:t>
      </w:r>
      <w:r>
        <w:fldChar w:fldCharType="end"/>
      </w:r>
    </w:p>
    <w:p w14:paraId="517F3E37" w14:textId="77777777" w:rsidR="00000000" w:rsidRDefault="00DB4BBA">
      <w:pPr>
        <w:pStyle w:val="TOC1"/>
        <w:rPr>
          <w:sz w:val="24"/>
          <w:szCs w:val="24"/>
          <w:lang w:val="en-US"/>
        </w:rPr>
      </w:pPr>
      <w:r>
        <w:t>Chapter 2</w:t>
      </w:r>
      <w:r>
        <w:tab/>
      </w:r>
      <w:r>
        <w:fldChar w:fldCharType="begin"/>
      </w:r>
      <w:r>
        <w:instrText xml:space="preserve"> PAGEREF _Toc118523878 \h </w:instrText>
      </w:r>
      <w:r>
        <w:fldChar w:fldCharType="separate"/>
      </w:r>
      <w:r>
        <w:t>5</w:t>
      </w:r>
      <w:r>
        <w:fldChar w:fldCharType="end"/>
      </w:r>
    </w:p>
    <w:p w14:paraId="1982B44D" w14:textId="77777777" w:rsidR="00000000" w:rsidRDefault="00DB4BBA">
      <w:pPr>
        <w:pStyle w:val="TOC2"/>
        <w:rPr>
          <w:i w:val="0"/>
          <w:szCs w:val="24"/>
          <w:lang w:val="en-US"/>
        </w:rPr>
      </w:pPr>
      <w:r>
        <w:t>Product description</w:t>
      </w:r>
      <w:r>
        <w:tab/>
      </w:r>
      <w:r>
        <w:fldChar w:fldCharType="begin"/>
      </w:r>
      <w:r>
        <w:instrText xml:space="preserve"> PAGEREF _Toc118523879 \h </w:instrText>
      </w:r>
      <w:r>
        <w:fldChar w:fldCharType="separate"/>
      </w:r>
      <w:r>
        <w:t>5</w:t>
      </w:r>
      <w:r>
        <w:fldChar w:fldCharType="end"/>
      </w:r>
    </w:p>
    <w:p w14:paraId="464BAC2A" w14:textId="77777777" w:rsidR="00000000" w:rsidRDefault="00DB4BBA">
      <w:pPr>
        <w:pStyle w:val="TOC3"/>
        <w:tabs>
          <w:tab w:val="left" w:pos="1085"/>
        </w:tabs>
        <w:rPr>
          <w:rFonts w:ascii="Times New Roman" w:hAnsi="Times New Roman"/>
          <w:sz w:val="24"/>
          <w:szCs w:val="24"/>
          <w:lang w:val="en-US"/>
        </w:rPr>
      </w:pPr>
      <w:r>
        <w:t>2.1</w:t>
      </w:r>
      <w:r>
        <w:rPr>
          <w:rFonts w:ascii="Times New Roman" w:hAnsi="Times New Roman"/>
          <w:sz w:val="24"/>
          <w:szCs w:val="24"/>
          <w:lang w:val="en-US"/>
        </w:rPr>
        <w:tab/>
      </w:r>
      <w:r>
        <w:t>Water wastage issues</w:t>
      </w:r>
      <w:r>
        <w:tab/>
      </w:r>
      <w:r>
        <w:fldChar w:fldCharType="begin"/>
      </w:r>
      <w:r>
        <w:instrText xml:space="preserve"> PAGEREF _Toc118523880 \h </w:instrText>
      </w:r>
      <w:r>
        <w:fldChar w:fldCharType="separate"/>
      </w:r>
      <w:r>
        <w:t>6</w:t>
      </w:r>
      <w:r>
        <w:fldChar w:fldCharType="end"/>
      </w:r>
    </w:p>
    <w:p w14:paraId="601897F4" w14:textId="77777777" w:rsidR="00000000" w:rsidRDefault="00DB4BBA">
      <w:pPr>
        <w:pStyle w:val="TOC3"/>
        <w:tabs>
          <w:tab w:val="left" w:pos="1085"/>
        </w:tabs>
        <w:rPr>
          <w:rFonts w:ascii="Times New Roman" w:hAnsi="Times New Roman"/>
          <w:sz w:val="24"/>
          <w:szCs w:val="24"/>
          <w:lang w:val="en-US"/>
        </w:rPr>
      </w:pPr>
      <w:r>
        <w:rPr>
          <w:lang w:val="en-GB"/>
        </w:rPr>
        <w:t>2.2</w:t>
      </w:r>
      <w:r>
        <w:rPr>
          <w:rFonts w:ascii="Times New Roman" w:hAnsi="Times New Roman"/>
          <w:sz w:val="24"/>
          <w:szCs w:val="24"/>
          <w:lang w:val="en-US"/>
        </w:rPr>
        <w:tab/>
      </w:r>
      <w:r>
        <w:rPr>
          <w:lang w:val="en-GB"/>
        </w:rPr>
        <w:t>Australian market for domestic irrigation controllers</w:t>
      </w:r>
      <w:r>
        <w:tab/>
      </w:r>
      <w:r>
        <w:fldChar w:fldCharType="begin"/>
      </w:r>
      <w:r>
        <w:instrText xml:space="preserve"> PAGEREF </w:instrText>
      </w:r>
      <w:r>
        <w:instrText xml:space="preserve">_Toc118523881 \h </w:instrText>
      </w:r>
      <w:r>
        <w:fldChar w:fldCharType="separate"/>
      </w:r>
      <w:r>
        <w:t>7</w:t>
      </w:r>
      <w:r>
        <w:fldChar w:fldCharType="end"/>
      </w:r>
    </w:p>
    <w:p w14:paraId="2A8A5D89" w14:textId="77777777" w:rsidR="00000000" w:rsidRDefault="00DB4BBA">
      <w:pPr>
        <w:pStyle w:val="TOC3"/>
        <w:tabs>
          <w:tab w:val="left" w:pos="1085"/>
        </w:tabs>
        <w:rPr>
          <w:rFonts w:ascii="Times New Roman" w:hAnsi="Times New Roman"/>
          <w:sz w:val="24"/>
          <w:szCs w:val="24"/>
          <w:lang w:val="en-US"/>
        </w:rPr>
      </w:pPr>
      <w:r>
        <w:rPr>
          <w:lang w:val="en-GB"/>
        </w:rPr>
        <w:t>2.3</w:t>
      </w:r>
      <w:r>
        <w:rPr>
          <w:rFonts w:ascii="Times New Roman" w:hAnsi="Times New Roman"/>
          <w:sz w:val="24"/>
          <w:szCs w:val="24"/>
          <w:lang w:val="en-US"/>
        </w:rPr>
        <w:tab/>
      </w:r>
      <w:r>
        <w:rPr>
          <w:lang w:val="en-GB"/>
        </w:rPr>
        <w:t>Standards</w:t>
      </w:r>
      <w:r>
        <w:tab/>
      </w:r>
      <w:r>
        <w:fldChar w:fldCharType="begin"/>
      </w:r>
      <w:r>
        <w:instrText xml:space="preserve"> PAGEREF _Toc118523882 \h </w:instrText>
      </w:r>
      <w:r>
        <w:fldChar w:fldCharType="separate"/>
      </w:r>
      <w:r>
        <w:t>9</w:t>
      </w:r>
      <w:r>
        <w:fldChar w:fldCharType="end"/>
      </w:r>
    </w:p>
    <w:p w14:paraId="193307D8" w14:textId="77777777" w:rsidR="00000000" w:rsidRDefault="00DB4BBA">
      <w:pPr>
        <w:pStyle w:val="TOC1"/>
        <w:rPr>
          <w:sz w:val="24"/>
          <w:szCs w:val="24"/>
          <w:lang w:val="en-US"/>
        </w:rPr>
      </w:pPr>
      <w:r>
        <w:t>Chapter 3</w:t>
      </w:r>
      <w:r>
        <w:tab/>
      </w:r>
      <w:r>
        <w:fldChar w:fldCharType="begin"/>
      </w:r>
      <w:r>
        <w:instrText xml:space="preserve"> PAGEREF _Toc118523883 \h </w:instrText>
      </w:r>
      <w:r>
        <w:fldChar w:fldCharType="separate"/>
      </w:r>
      <w:r>
        <w:t>10</w:t>
      </w:r>
      <w:r>
        <w:fldChar w:fldCharType="end"/>
      </w:r>
    </w:p>
    <w:p w14:paraId="55C0B05A" w14:textId="77777777" w:rsidR="00000000" w:rsidRDefault="00DB4BBA">
      <w:pPr>
        <w:pStyle w:val="TOC2"/>
        <w:rPr>
          <w:i w:val="0"/>
          <w:szCs w:val="24"/>
          <w:lang w:val="en-US"/>
        </w:rPr>
      </w:pPr>
      <w:r>
        <w:t>Methodology</w:t>
      </w:r>
      <w:r>
        <w:tab/>
      </w:r>
      <w:r>
        <w:fldChar w:fldCharType="begin"/>
      </w:r>
      <w:r>
        <w:instrText xml:space="preserve"> PAGEREF _Toc118523884 \h </w:instrText>
      </w:r>
      <w:r>
        <w:fldChar w:fldCharType="separate"/>
      </w:r>
      <w:r>
        <w:t>10</w:t>
      </w:r>
      <w:r>
        <w:fldChar w:fldCharType="end"/>
      </w:r>
    </w:p>
    <w:p w14:paraId="5C3A4017" w14:textId="77777777" w:rsidR="00000000" w:rsidRDefault="00DB4BBA">
      <w:pPr>
        <w:pStyle w:val="TOC3"/>
        <w:tabs>
          <w:tab w:val="left" w:pos="1085"/>
        </w:tabs>
        <w:rPr>
          <w:rFonts w:ascii="Times New Roman" w:hAnsi="Times New Roman"/>
          <w:sz w:val="24"/>
          <w:szCs w:val="24"/>
          <w:lang w:val="en-US"/>
        </w:rPr>
      </w:pPr>
      <w:r>
        <w:t>3.1</w:t>
      </w:r>
      <w:r>
        <w:rPr>
          <w:rFonts w:ascii="Times New Roman" w:hAnsi="Times New Roman"/>
          <w:sz w:val="24"/>
          <w:szCs w:val="24"/>
          <w:lang w:val="en-US"/>
        </w:rPr>
        <w:tab/>
      </w:r>
      <w:r>
        <w:t>Sources reviewed</w:t>
      </w:r>
      <w:r>
        <w:tab/>
      </w:r>
      <w:r>
        <w:fldChar w:fldCharType="begin"/>
      </w:r>
      <w:r>
        <w:instrText xml:space="preserve"> PAGEREF _Toc118523885 \h </w:instrText>
      </w:r>
      <w:r>
        <w:fldChar w:fldCharType="separate"/>
      </w:r>
      <w:r>
        <w:t>10</w:t>
      </w:r>
      <w:r>
        <w:fldChar w:fldCharType="end"/>
      </w:r>
    </w:p>
    <w:p w14:paraId="41B99290" w14:textId="77777777" w:rsidR="00000000" w:rsidRDefault="00DB4BBA">
      <w:pPr>
        <w:pStyle w:val="TOC3"/>
        <w:tabs>
          <w:tab w:val="left" w:pos="1085"/>
        </w:tabs>
        <w:rPr>
          <w:rFonts w:ascii="Times New Roman" w:hAnsi="Times New Roman"/>
          <w:sz w:val="24"/>
          <w:szCs w:val="24"/>
          <w:lang w:val="en-US"/>
        </w:rPr>
      </w:pPr>
      <w:r>
        <w:t>3.2</w:t>
      </w:r>
      <w:r>
        <w:rPr>
          <w:rFonts w:ascii="Times New Roman" w:hAnsi="Times New Roman"/>
          <w:sz w:val="24"/>
          <w:szCs w:val="24"/>
          <w:lang w:val="en-US"/>
        </w:rPr>
        <w:tab/>
      </w:r>
      <w:r>
        <w:t>Stakeholders consulted</w:t>
      </w:r>
      <w:r>
        <w:tab/>
      </w:r>
      <w:r>
        <w:fldChar w:fldCharType="begin"/>
      </w:r>
      <w:r>
        <w:instrText xml:space="preserve"> PAGEREF _Toc118523886 \h </w:instrText>
      </w:r>
      <w:r>
        <w:fldChar w:fldCharType="separate"/>
      </w:r>
      <w:r>
        <w:t>10</w:t>
      </w:r>
      <w:r>
        <w:fldChar w:fldCharType="end"/>
      </w:r>
    </w:p>
    <w:p w14:paraId="073880D9" w14:textId="77777777" w:rsidR="00000000" w:rsidRDefault="00DB4BBA">
      <w:pPr>
        <w:pStyle w:val="TOC1"/>
        <w:rPr>
          <w:sz w:val="24"/>
          <w:szCs w:val="24"/>
          <w:lang w:val="en-US"/>
        </w:rPr>
      </w:pPr>
      <w:r>
        <w:t>Chapter 4</w:t>
      </w:r>
      <w:r>
        <w:tab/>
      </w:r>
      <w:r>
        <w:fldChar w:fldCharType="begin"/>
      </w:r>
      <w:r>
        <w:instrText xml:space="preserve"> PAGEREF _Toc118523887 \h </w:instrText>
      </w:r>
      <w:r>
        <w:fldChar w:fldCharType="separate"/>
      </w:r>
      <w:r>
        <w:t>11</w:t>
      </w:r>
      <w:r>
        <w:fldChar w:fldCharType="end"/>
      </w:r>
    </w:p>
    <w:p w14:paraId="1DB3B2D7" w14:textId="77777777" w:rsidR="00000000" w:rsidRDefault="00DB4BBA">
      <w:pPr>
        <w:pStyle w:val="TOC2"/>
        <w:rPr>
          <w:i w:val="0"/>
          <w:szCs w:val="24"/>
          <w:lang w:val="en-US"/>
        </w:rPr>
      </w:pPr>
      <w:r>
        <w:t>The nature and extent of the problem</w:t>
      </w:r>
      <w:r>
        <w:tab/>
      </w:r>
      <w:r>
        <w:fldChar w:fldCharType="begin"/>
      </w:r>
      <w:r>
        <w:instrText xml:space="preserve"> PAGEREF _Toc118523888 \h </w:instrText>
      </w:r>
      <w:r>
        <w:fldChar w:fldCharType="separate"/>
      </w:r>
      <w:r>
        <w:t>11</w:t>
      </w:r>
      <w:r>
        <w:fldChar w:fldCharType="end"/>
      </w:r>
    </w:p>
    <w:p w14:paraId="11E0A9D1" w14:textId="77777777" w:rsidR="00000000" w:rsidRDefault="00DB4BBA">
      <w:pPr>
        <w:pStyle w:val="TOC3"/>
        <w:tabs>
          <w:tab w:val="left" w:pos="1085"/>
        </w:tabs>
        <w:rPr>
          <w:rFonts w:ascii="Times New Roman" w:hAnsi="Times New Roman"/>
          <w:sz w:val="24"/>
          <w:szCs w:val="24"/>
          <w:lang w:val="en-US"/>
        </w:rPr>
      </w:pPr>
      <w:r>
        <w:rPr>
          <w:lang w:val="en-GB"/>
        </w:rPr>
        <w:t>4.1</w:t>
      </w:r>
      <w:r>
        <w:rPr>
          <w:rFonts w:ascii="Times New Roman" w:hAnsi="Times New Roman"/>
          <w:sz w:val="24"/>
          <w:szCs w:val="24"/>
          <w:lang w:val="en-US"/>
        </w:rPr>
        <w:tab/>
      </w:r>
      <w:r>
        <w:rPr>
          <w:lang w:val="en-GB"/>
        </w:rPr>
        <w:t>The market for water</w:t>
      </w:r>
      <w:r>
        <w:tab/>
      </w:r>
      <w:r>
        <w:fldChar w:fldCharType="begin"/>
      </w:r>
      <w:r>
        <w:instrText xml:space="preserve"> PAGEREF _Toc118523889 \h </w:instrText>
      </w:r>
      <w:r>
        <w:fldChar w:fldCharType="separate"/>
      </w:r>
      <w:r>
        <w:t>11</w:t>
      </w:r>
      <w:r>
        <w:fldChar w:fldCharType="end"/>
      </w:r>
    </w:p>
    <w:p w14:paraId="72DF63E1" w14:textId="77777777" w:rsidR="00000000" w:rsidRDefault="00DB4BBA">
      <w:pPr>
        <w:pStyle w:val="TOC3"/>
        <w:tabs>
          <w:tab w:val="left" w:pos="1085"/>
        </w:tabs>
        <w:rPr>
          <w:rFonts w:ascii="Times New Roman" w:hAnsi="Times New Roman"/>
          <w:sz w:val="24"/>
          <w:szCs w:val="24"/>
          <w:lang w:val="en-US"/>
        </w:rPr>
      </w:pPr>
      <w:r>
        <w:rPr>
          <w:lang w:val="en-GB"/>
        </w:rPr>
        <w:t>4.2</w:t>
      </w:r>
      <w:r>
        <w:rPr>
          <w:rFonts w:ascii="Times New Roman" w:hAnsi="Times New Roman"/>
          <w:sz w:val="24"/>
          <w:szCs w:val="24"/>
          <w:lang w:val="en-US"/>
        </w:rPr>
        <w:tab/>
      </w:r>
      <w:r>
        <w:rPr>
          <w:lang w:val="en-GB"/>
        </w:rPr>
        <w:t>Potential benefits of improved water efficiency measures</w:t>
      </w:r>
      <w:r>
        <w:tab/>
      </w:r>
      <w:r>
        <w:fldChar w:fldCharType="begin"/>
      </w:r>
      <w:r>
        <w:instrText xml:space="preserve"> PA</w:instrText>
      </w:r>
      <w:r>
        <w:instrText xml:space="preserve">GEREF _Toc118523890 \h </w:instrText>
      </w:r>
      <w:r>
        <w:fldChar w:fldCharType="separate"/>
      </w:r>
      <w:r>
        <w:t>14</w:t>
      </w:r>
      <w:r>
        <w:fldChar w:fldCharType="end"/>
      </w:r>
    </w:p>
    <w:p w14:paraId="7F07AE56" w14:textId="77777777" w:rsidR="00000000" w:rsidRDefault="00DB4BBA">
      <w:pPr>
        <w:pStyle w:val="TOC3"/>
        <w:tabs>
          <w:tab w:val="left" w:pos="1085"/>
        </w:tabs>
        <w:rPr>
          <w:rFonts w:ascii="Times New Roman" w:hAnsi="Times New Roman"/>
          <w:sz w:val="24"/>
          <w:szCs w:val="24"/>
          <w:lang w:val="en-US"/>
        </w:rPr>
      </w:pPr>
      <w:r>
        <w:t>4.3</w:t>
      </w:r>
      <w:r>
        <w:rPr>
          <w:rFonts w:ascii="Times New Roman" w:hAnsi="Times New Roman"/>
          <w:sz w:val="24"/>
          <w:szCs w:val="24"/>
          <w:lang w:val="en-US"/>
        </w:rPr>
        <w:tab/>
      </w:r>
      <w:r>
        <w:t>Market failures that may impede the purchase of water efficient products</w:t>
      </w:r>
      <w:r>
        <w:tab/>
      </w:r>
      <w:r>
        <w:fldChar w:fldCharType="begin"/>
      </w:r>
      <w:r>
        <w:instrText xml:space="preserve"> PAGEREF _Toc118523891 \h </w:instrText>
      </w:r>
      <w:r>
        <w:fldChar w:fldCharType="separate"/>
      </w:r>
      <w:r>
        <w:t>15</w:t>
      </w:r>
      <w:r>
        <w:fldChar w:fldCharType="end"/>
      </w:r>
    </w:p>
    <w:p w14:paraId="64B82655" w14:textId="77777777" w:rsidR="00000000" w:rsidRDefault="00DB4BBA">
      <w:pPr>
        <w:pStyle w:val="TOC3"/>
        <w:tabs>
          <w:tab w:val="left" w:pos="1085"/>
        </w:tabs>
        <w:rPr>
          <w:rFonts w:ascii="Times New Roman" w:hAnsi="Times New Roman"/>
          <w:sz w:val="24"/>
          <w:szCs w:val="24"/>
          <w:lang w:val="en-US"/>
        </w:rPr>
      </w:pPr>
      <w:r>
        <w:rPr>
          <w:lang w:val="en-GB"/>
        </w:rPr>
        <w:t>4.4</w:t>
      </w:r>
      <w:r>
        <w:rPr>
          <w:rFonts w:ascii="Times New Roman" w:hAnsi="Times New Roman"/>
          <w:sz w:val="24"/>
          <w:szCs w:val="24"/>
          <w:lang w:val="en-US"/>
        </w:rPr>
        <w:tab/>
      </w:r>
      <w:r>
        <w:rPr>
          <w:lang w:val="en-GB"/>
        </w:rPr>
        <w:t>The problem</w:t>
      </w:r>
      <w:r>
        <w:tab/>
      </w:r>
      <w:r>
        <w:fldChar w:fldCharType="begin"/>
      </w:r>
      <w:r>
        <w:instrText xml:space="preserve"> PAGEREF _Toc118523892 \h </w:instrText>
      </w:r>
      <w:r>
        <w:fldChar w:fldCharType="separate"/>
      </w:r>
      <w:r>
        <w:t>19</w:t>
      </w:r>
      <w:r>
        <w:fldChar w:fldCharType="end"/>
      </w:r>
    </w:p>
    <w:p w14:paraId="07A365EC" w14:textId="77777777" w:rsidR="00000000" w:rsidRDefault="00DB4BBA">
      <w:pPr>
        <w:pStyle w:val="TOC3"/>
        <w:tabs>
          <w:tab w:val="left" w:pos="1085"/>
        </w:tabs>
        <w:rPr>
          <w:rFonts w:ascii="Times New Roman" w:hAnsi="Times New Roman"/>
          <w:sz w:val="24"/>
          <w:szCs w:val="24"/>
          <w:lang w:val="en-US"/>
        </w:rPr>
      </w:pPr>
      <w:r>
        <w:rPr>
          <w:lang w:val="en-GB"/>
        </w:rPr>
        <w:t>4.5</w:t>
      </w:r>
      <w:r>
        <w:rPr>
          <w:rFonts w:ascii="Times New Roman" w:hAnsi="Times New Roman"/>
          <w:sz w:val="24"/>
          <w:szCs w:val="24"/>
          <w:lang w:val="en-US"/>
        </w:rPr>
        <w:tab/>
      </w:r>
      <w:r>
        <w:rPr>
          <w:lang w:val="en-GB"/>
        </w:rPr>
        <w:t>Water efficiency performance of domestic irrigation controllers</w:t>
      </w:r>
      <w:r>
        <w:tab/>
      </w:r>
      <w:r>
        <w:fldChar w:fldCharType="begin"/>
      </w:r>
      <w:r>
        <w:instrText xml:space="preserve"> PAGEREF _Toc118523893 \h </w:instrText>
      </w:r>
      <w:r>
        <w:fldChar w:fldCharType="separate"/>
      </w:r>
      <w:r>
        <w:t>19</w:t>
      </w:r>
      <w:r>
        <w:fldChar w:fldCharType="end"/>
      </w:r>
    </w:p>
    <w:p w14:paraId="2289B673" w14:textId="77777777" w:rsidR="00000000" w:rsidRDefault="00DB4BBA">
      <w:pPr>
        <w:pStyle w:val="TOC3"/>
        <w:tabs>
          <w:tab w:val="left" w:pos="1085"/>
        </w:tabs>
        <w:rPr>
          <w:rFonts w:ascii="Times New Roman" w:hAnsi="Times New Roman"/>
          <w:sz w:val="24"/>
          <w:szCs w:val="24"/>
          <w:lang w:val="en-US"/>
        </w:rPr>
      </w:pPr>
      <w:r>
        <w:rPr>
          <w:rFonts w:cs="Arial"/>
          <w:lang w:val="en-US"/>
        </w:rPr>
        <w:t>4.6</w:t>
      </w:r>
      <w:r>
        <w:rPr>
          <w:rFonts w:ascii="Times New Roman" w:hAnsi="Times New Roman"/>
          <w:sz w:val="24"/>
          <w:szCs w:val="24"/>
          <w:lang w:val="en-US"/>
        </w:rPr>
        <w:tab/>
      </w:r>
      <w:r>
        <w:rPr>
          <w:rFonts w:cs="Arial"/>
          <w:lang w:val="en-US"/>
        </w:rPr>
        <w:t>Water restrictions</w:t>
      </w:r>
      <w:r>
        <w:tab/>
      </w:r>
      <w:r>
        <w:fldChar w:fldCharType="begin"/>
      </w:r>
      <w:r>
        <w:instrText xml:space="preserve"> PAGEREF _Toc118523894 \h </w:instrText>
      </w:r>
      <w:r>
        <w:fldChar w:fldCharType="separate"/>
      </w:r>
      <w:r>
        <w:t>21</w:t>
      </w:r>
      <w:r>
        <w:fldChar w:fldCharType="end"/>
      </w:r>
    </w:p>
    <w:p w14:paraId="18291799" w14:textId="77777777" w:rsidR="00000000" w:rsidRDefault="00DB4BBA">
      <w:pPr>
        <w:pStyle w:val="TOC1"/>
        <w:rPr>
          <w:sz w:val="24"/>
          <w:szCs w:val="24"/>
          <w:lang w:val="en-US"/>
        </w:rPr>
      </w:pPr>
      <w:r>
        <w:rPr>
          <w:rFonts w:cs="Helvetica"/>
          <w:szCs w:val="24"/>
          <w:lang w:val="en-US"/>
        </w:rPr>
        <w:t>Chapter 5</w:t>
      </w:r>
      <w:r>
        <w:tab/>
      </w:r>
      <w:r>
        <w:fldChar w:fldCharType="begin"/>
      </w:r>
      <w:r>
        <w:instrText xml:space="preserve"> PAGEREF _Toc118523895 \h </w:instrText>
      </w:r>
      <w:r>
        <w:fldChar w:fldCharType="separate"/>
      </w:r>
      <w:r>
        <w:t>22</w:t>
      </w:r>
      <w:r>
        <w:fldChar w:fldCharType="end"/>
      </w:r>
    </w:p>
    <w:p w14:paraId="7B7AF66F" w14:textId="77777777" w:rsidR="00000000" w:rsidRDefault="00DB4BBA">
      <w:pPr>
        <w:pStyle w:val="TOC2"/>
        <w:rPr>
          <w:i w:val="0"/>
          <w:szCs w:val="24"/>
          <w:lang w:val="en-US"/>
        </w:rPr>
      </w:pPr>
      <w:r>
        <w:t>Conclusion</w:t>
      </w:r>
      <w:r>
        <w:tab/>
      </w:r>
      <w:r>
        <w:fldChar w:fldCharType="begin"/>
      </w:r>
      <w:r>
        <w:instrText xml:space="preserve"> PAGEREF _Toc118523896 \h </w:instrText>
      </w:r>
      <w:r>
        <w:fldChar w:fldCharType="separate"/>
      </w:r>
      <w:r>
        <w:t>22</w:t>
      </w:r>
      <w:r>
        <w:fldChar w:fldCharType="end"/>
      </w:r>
    </w:p>
    <w:p w14:paraId="374D06D2" w14:textId="77777777" w:rsidR="00000000" w:rsidRDefault="00DB4BBA">
      <w:pPr>
        <w:pStyle w:val="TOC1"/>
        <w:rPr>
          <w:sz w:val="24"/>
          <w:szCs w:val="24"/>
          <w:lang w:val="en-US"/>
        </w:rPr>
      </w:pPr>
      <w:r>
        <w:t>Appendix A</w:t>
      </w:r>
      <w:r>
        <w:tab/>
      </w:r>
      <w:r>
        <w:fldChar w:fldCharType="begin"/>
      </w:r>
      <w:r>
        <w:instrText xml:space="preserve"> PAGEREF _Toc118523897 \h </w:instrText>
      </w:r>
      <w:r>
        <w:fldChar w:fldCharType="separate"/>
      </w:r>
      <w:r>
        <w:t>23</w:t>
      </w:r>
      <w:r>
        <w:fldChar w:fldCharType="end"/>
      </w:r>
    </w:p>
    <w:p w14:paraId="210B81EE" w14:textId="77777777" w:rsidR="00000000" w:rsidRDefault="00DB4BBA">
      <w:pPr>
        <w:pStyle w:val="TOC2"/>
        <w:rPr>
          <w:i w:val="0"/>
          <w:szCs w:val="24"/>
          <w:lang w:val="en-US"/>
        </w:rPr>
      </w:pPr>
      <w:r>
        <w:t>References</w:t>
      </w:r>
      <w:r>
        <w:tab/>
      </w:r>
      <w:r>
        <w:fldChar w:fldCharType="begin"/>
      </w:r>
      <w:r>
        <w:instrText xml:space="preserve"> PAGEREF _Toc118523898 \h </w:instrText>
      </w:r>
      <w:r>
        <w:fldChar w:fldCharType="separate"/>
      </w:r>
      <w:r>
        <w:t>23</w:t>
      </w:r>
      <w:r>
        <w:fldChar w:fldCharType="end"/>
      </w:r>
    </w:p>
    <w:p w14:paraId="5184408E" w14:textId="77777777" w:rsidR="00000000" w:rsidRDefault="00DB4BBA">
      <w:pPr>
        <w:pStyle w:val="TOC1"/>
      </w:pPr>
      <w:r>
        <w:rPr>
          <w:i/>
        </w:rPr>
        <w:fldChar w:fldCharType="end"/>
      </w:r>
    </w:p>
    <w:p w14:paraId="59AD7129" w14:textId="77777777" w:rsidR="00000000" w:rsidRDefault="00DB4BBA">
      <w:pPr>
        <w:tabs>
          <w:tab w:val="right" w:pos="7371"/>
        </w:tabs>
        <w:sectPr w:rsidR="00000000">
          <w:pgSz w:w="11899" w:h="16838"/>
          <w:pgMar w:top="851" w:right="794" w:bottom="851" w:left="2268" w:header="454" w:footer="454" w:gutter="1418"/>
          <w:pgNumType w:fmt="lowerRoman"/>
          <w:cols w:space="720"/>
        </w:sectPr>
      </w:pPr>
    </w:p>
    <w:p w14:paraId="6DDB091C" w14:textId="77777777" w:rsidR="00000000" w:rsidRDefault="00DB4BBA">
      <w:pPr>
        <w:pStyle w:val="Heading1"/>
        <w:numPr>
          <w:ilvl w:val="0"/>
          <w:numId w:val="4"/>
        </w:numPr>
      </w:pPr>
      <w:bookmarkStart w:id="1" w:name="_Toc104025576"/>
      <w:bookmarkStart w:id="2" w:name="_Toc118523872"/>
      <w:bookmarkEnd w:id="1"/>
      <w:bookmarkEnd w:id="2"/>
    </w:p>
    <w:p w14:paraId="06F96180" w14:textId="77777777" w:rsidR="00000000" w:rsidRDefault="00DB4BBA">
      <w:pPr>
        <w:pStyle w:val="Heading2"/>
      </w:pPr>
      <w:bookmarkStart w:id="3" w:name="_Toc104025577"/>
      <w:bookmarkStart w:id="4" w:name="_Toc118523873"/>
      <w:r>
        <w:t>Introduction</w:t>
      </w:r>
      <w:bookmarkEnd w:id="3"/>
      <w:bookmarkEnd w:id="4"/>
    </w:p>
    <w:p w14:paraId="281E1563" w14:textId="77777777" w:rsidR="00000000" w:rsidRDefault="00DB4BBA">
      <w:pPr>
        <w:pStyle w:val="Text"/>
        <w:rPr>
          <w:i/>
        </w:rPr>
      </w:pPr>
      <w:bookmarkStart w:id="5" w:name="_Toc100638767"/>
      <w:bookmarkStart w:id="6" w:name="_Toc104025580"/>
      <w:r>
        <w:rPr>
          <w:i/>
        </w:rPr>
        <w:t xml:space="preserve">This Chapter provides an overview of the policy framework that has resulted in this paper </w:t>
      </w:r>
      <w:r>
        <w:rPr>
          <w:i/>
        </w:rPr>
        <w:t xml:space="preserve">being developed. </w:t>
      </w:r>
    </w:p>
    <w:p w14:paraId="25273F0C" w14:textId="77777777" w:rsidR="00000000" w:rsidRDefault="00DB4BBA">
      <w:pPr>
        <w:pStyle w:val="Heading3"/>
        <w:ind w:left="709" w:hanging="709"/>
        <w:rPr>
          <w:lang w:val="en-GB"/>
        </w:rPr>
      </w:pPr>
      <w:bookmarkStart w:id="7" w:name="_Toc100638765"/>
      <w:bookmarkStart w:id="8" w:name="_Toc109801761"/>
      <w:bookmarkStart w:id="9" w:name="_Toc118523874"/>
      <w:r>
        <w:rPr>
          <w:lang w:val="en-GB"/>
        </w:rPr>
        <w:t>Water in Australia</w:t>
      </w:r>
      <w:bookmarkEnd w:id="7"/>
      <w:bookmarkEnd w:id="8"/>
      <w:bookmarkEnd w:id="9"/>
    </w:p>
    <w:p w14:paraId="6DAA7F28" w14:textId="77777777" w:rsidR="00000000" w:rsidRDefault="00DB4BBA">
      <w:pPr>
        <w:pStyle w:val="Text"/>
        <w:rPr>
          <w:lang w:val="en-GB"/>
        </w:rPr>
      </w:pPr>
      <w:r>
        <w:rPr>
          <w:lang w:val="en-GB"/>
        </w:rPr>
        <w:t>Water is essential for a country’s economic development and social well</w:t>
      </w:r>
      <w:r>
        <w:rPr>
          <w:lang w:val="en-GB"/>
        </w:rPr>
        <w:noBreakHyphen/>
      </w:r>
      <w:r>
        <w:rPr>
          <w:lang w:val="en-GB"/>
        </w:rPr>
        <w:t>being. In Australia, access to water has dictated the way in which cities have grown, and the population density around coastal areas. It is therefore no surprise that water management has become a priority across all levels of government in Australia in t</w:t>
      </w:r>
      <w:r>
        <w:rPr>
          <w:lang w:val="en-GB"/>
        </w:rPr>
        <w:t xml:space="preserve">he last two decades. In recent years, given the prolonged drought and the uncertainty resulting from climate change, attention to water management has become more urgent. </w:t>
      </w:r>
    </w:p>
    <w:p w14:paraId="40DD0C87" w14:textId="77777777" w:rsidR="00000000" w:rsidRDefault="00DB4BBA">
      <w:pPr>
        <w:pStyle w:val="Text"/>
        <w:rPr>
          <w:lang w:val="en-GB"/>
        </w:rPr>
      </w:pPr>
      <w:r>
        <w:rPr>
          <w:i/>
          <w:lang w:val="en-GB"/>
        </w:rPr>
        <w:t xml:space="preserve">Water for the Future </w:t>
      </w:r>
      <w:r>
        <w:rPr>
          <w:lang w:val="en-GB"/>
        </w:rPr>
        <w:t>is the Australian Government’s ten</w:t>
      </w:r>
      <w:r>
        <w:rPr>
          <w:lang w:val="en-GB"/>
        </w:rPr>
        <w:noBreakHyphen/>
      </w:r>
      <w:r>
        <w:rPr>
          <w:lang w:val="en-GB"/>
        </w:rPr>
        <w:t xml:space="preserve">year plan for water management that aims to secure the long-term water supply of all Australians. It identifies the following four priorities: </w:t>
      </w:r>
    </w:p>
    <w:p w14:paraId="7B367F91" w14:textId="77777777" w:rsidR="00000000" w:rsidRDefault="00DB4BBA">
      <w:pPr>
        <w:pStyle w:val="TextDotPoint"/>
        <w:rPr>
          <w:lang w:val="en-GB"/>
        </w:rPr>
      </w:pPr>
      <w:r>
        <w:rPr>
          <w:lang w:val="en-GB"/>
        </w:rPr>
        <w:t xml:space="preserve">taking action on climate change; </w:t>
      </w:r>
    </w:p>
    <w:p w14:paraId="74C8C66C" w14:textId="77777777" w:rsidR="00000000" w:rsidRDefault="00DB4BBA">
      <w:pPr>
        <w:pStyle w:val="TextDotPoint"/>
        <w:rPr>
          <w:lang w:val="en-GB"/>
        </w:rPr>
      </w:pPr>
      <w:r>
        <w:rPr>
          <w:lang w:val="en-GB"/>
        </w:rPr>
        <w:t xml:space="preserve">using water wisely; </w:t>
      </w:r>
    </w:p>
    <w:p w14:paraId="55711B0A" w14:textId="77777777" w:rsidR="00000000" w:rsidRDefault="00DB4BBA">
      <w:pPr>
        <w:pStyle w:val="TextDotPoint"/>
        <w:rPr>
          <w:lang w:val="en-GB"/>
        </w:rPr>
      </w:pPr>
      <w:r>
        <w:rPr>
          <w:lang w:val="en-GB"/>
        </w:rPr>
        <w:t xml:space="preserve">securing water supplies; and </w:t>
      </w:r>
    </w:p>
    <w:p w14:paraId="6F272792" w14:textId="77777777" w:rsidR="00000000" w:rsidRDefault="00DB4BBA">
      <w:pPr>
        <w:pStyle w:val="TextDotPoint"/>
        <w:rPr>
          <w:lang w:val="en-GB"/>
        </w:rPr>
      </w:pPr>
      <w:r>
        <w:rPr>
          <w:lang w:val="en-GB"/>
        </w:rPr>
        <w:t xml:space="preserve">supporting healthy </w:t>
      </w:r>
      <w:r>
        <w:rPr>
          <w:lang w:val="en-GB"/>
        </w:rPr>
        <w:t xml:space="preserve">rivers </w:t>
      </w:r>
      <w:r>
        <w:rPr>
          <w:lang w:val="en-GB"/>
        </w:rPr>
        <w:fldChar w:fldCharType="begin"/>
      </w:r>
      <w:r>
        <w:rPr>
          <w:lang w:val="en-GB"/>
        </w:rPr>
        <w:instrText xml:space="preserve"> ADDIN EN.CITE &lt;EndNote&gt;&lt;Cite&gt;&lt;Author&gt;Department of the Environment Water Heritage and the Arts&lt;/Author&gt;&lt;Year&gt;2008&lt;/Year&gt;&lt;RecNum&gt;83&lt;/RecNum&gt;&lt;record&gt;&lt;rec-number&gt;83&lt;/rec-number&gt;&lt;foreign-keys&gt;&lt;key app="EN" db-id="50s0sw00tv5rvlessrsvpfd52f0zefprpafd"&gt;8</w:instrText>
      </w:r>
      <w:r>
        <w:rPr>
          <w:lang w:val="en-GB"/>
        </w:rPr>
        <w:instrText>3&lt;/key&gt;&lt;/foreign-keys&gt;&lt;ref-type name="Web Page"&gt;12&lt;/ref-type&gt;&lt;contributors&gt;&lt;authors&gt;&lt;author&gt;Department of the Environment Water Heritage and the Arts,&lt;/author&gt;&lt;/authors&gt;&lt;/contributors&gt;&lt;titles&gt;&lt;title&gt;Water for the Future &lt;/title&gt;&lt;/titles&gt;&lt;volume&gt;2009&lt;/volum</w:instrText>
      </w:r>
      <w:r>
        <w:rPr>
          <w:lang w:val="en-GB"/>
        </w:rPr>
        <w:instrText>e&gt;&lt;number&gt;22 Janaury &lt;/number&gt;&lt;dates&gt;&lt;year&gt;2008&lt;/year&gt;&lt;/dates&gt;&lt;urls&gt;&lt;related-urls&gt;&lt;url&gt;&lt;style face="underline" font="default" size="100%"&gt;http://environment.gov.au/water/publications/action/pubs/water-future.pdf&lt;/style&gt;&lt;/url&gt;&lt;/related-urls&gt;&lt;/urls&gt;&lt;/record&gt;</w:instrText>
      </w:r>
      <w:r>
        <w:rPr>
          <w:lang w:val="en-GB"/>
        </w:rPr>
        <w:instrText>&lt;/Cite&gt;&lt;/EndNote&gt;</w:instrText>
      </w:r>
      <w:r>
        <w:rPr>
          <w:lang w:val="en-GB"/>
        </w:rPr>
        <w:fldChar w:fldCharType="separate"/>
      </w:r>
      <w:r>
        <w:rPr>
          <w:lang w:val="en-GB"/>
        </w:rPr>
        <w:t>(Department of the Environment Water Heritage and the Arts 2008)</w:t>
      </w:r>
      <w:r>
        <w:rPr>
          <w:lang w:val="en-GB"/>
        </w:rPr>
        <w:fldChar w:fldCharType="end"/>
      </w:r>
      <w:r>
        <w:rPr>
          <w:lang w:val="en-GB"/>
        </w:rPr>
        <w:t>.</w:t>
      </w:r>
    </w:p>
    <w:p w14:paraId="4C25FD2E" w14:textId="77777777" w:rsidR="00000000" w:rsidRDefault="00DB4BBA">
      <w:pPr>
        <w:pStyle w:val="Text"/>
        <w:rPr>
          <w:lang w:val="en-GB"/>
        </w:rPr>
      </w:pPr>
      <w:r>
        <w:rPr>
          <w:lang w:val="en-GB"/>
        </w:rPr>
        <w:t xml:space="preserve">The </w:t>
      </w:r>
      <w:r>
        <w:rPr>
          <w:i/>
          <w:lang w:val="en-GB"/>
        </w:rPr>
        <w:t xml:space="preserve">National Water Initiative </w:t>
      </w:r>
      <w:r>
        <w:rPr>
          <w:lang w:val="en-GB"/>
        </w:rPr>
        <w:t xml:space="preserve">(NWI) is a vital element in this national framework. </w:t>
      </w:r>
      <w:r>
        <w:rPr>
          <w:lang w:val="en-GB"/>
        </w:rPr>
        <w:t>The NWI is a cross-jurisdictional blueprint for water reform. Underpinned by an Intergovernmental Agreement, the NWI commits its signatories to:</w:t>
      </w:r>
    </w:p>
    <w:p w14:paraId="686EB256" w14:textId="77777777" w:rsidR="00000000" w:rsidRDefault="00DB4BBA">
      <w:pPr>
        <w:pStyle w:val="TextDotPoint"/>
        <w:rPr>
          <w:lang w:val="en-GB"/>
        </w:rPr>
      </w:pPr>
      <w:r>
        <w:rPr>
          <w:lang w:val="en-GB"/>
        </w:rPr>
        <w:t>prepare water plans with provision for the environment;</w:t>
      </w:r>
    </w:p>
    <w:p w14:paraId="79BC8B45" w14:textId="77777777" w:rsidR="00000000" w:rsidRDefault="00DB4BBA">
      <w:pPr>
        <w:pStyle w:val="TextDotPoint"/>
        <w:rPr>
          <w:lang w:val="en-GB"/>
        </w:rPr>
      </w:pPr>
      <w:r>
        <w:rPr>
          <w:lang w:val="en-GB"/>
        </w:rPr>
        <w:t>deal with over-allocated or stressed water systems;</w:t>
      </w:r>
    </w:p>
    <w:p w14:paraId="5137C3D6" w14:textId="77777777" w:rsidR="00000000" w:rsidRDefault="00DB4BBA">
      <w:pPr>
        <w:pStyle w:val="TextDotPoint"/>
        <w:rPr>
          <w:lang w:val="en-GB"/>
        </w:rPr>
      </w:pPr>
      <w:r>
        <w:rPr>
          <w:lang w:val="en-GB"/>
        </w:rPr>
        <w:t>introduce registers of water rights and standards for water accounting;</w:t>
      </w:r>
    </w:p>
    <w:p w14:paraId="6360C6A0" w14:textId="77777777" w:rsidR="00000000" w:rsidRDefault="00DB4BBA">
      <w:pPr>
        <w:pStyle w:val="TextDotPoint"/>
        <w:rPr>
          <w:lang w:val="en-GB"/>
        </w:rPr>
      </w:pPr>
      <w:r>
        <w:rPr>
          <w:lang w:val="en-GB"/>
        </w:rPr>
        <w:t>expand the trade in water;</w:t>
      </w:r>
    </w:p>
    <w:p w14:paraId="12B0D8D2" w14:textId="77777777" w:rsidR="00000000" w:rsidRDefault="00DB4BBA">
      <w:pPr>
        <w:pStyle w:val="TextDotPoint"/>
        <w:rPr>
          <w:lang w:val="en-GB"/>
        </w:rPr>
      </w:pPr>
      <w:r>
        <w:rPr>
          <w:lang w:val="en-GB"/>
        </w:rPr>
        <w:t>improve pricing for water storage and delivery; and</w:t>
      </w:r>
    </w:p>
    <w:p w14:paraId="257AAAF6" w14:textId="77777777" w:rsidR="00000000" w:rsidRDefault="00DB4BBA">
      <w:pPr>
        <w:pStyle w:val="TextDotPoint"/>
        <w:rPr>
          <w:lang w:val="en-GB"/>
        </w:rPr>
      </w:pPr>
      <w:r>
        <w:rPr>
          <w:lang w:val="en-GB"/>
        </w:rPr>
        <w:t xml:space="preserve">meet and manage urban water demands </w:t>
      </w:r>
      <w:r>
        <w:rPr>
          <w:lang w:val="en-GB"/>
        </w:rPr>
        <w:fldChar w:fldCharType="begin"/>
      </w:r>
      <w:r>
        <w:rPr>
          <w:lang w:val="en-GB"/>
        </w:rPr>
        <w:instrText xml:space="preserve"> ADDIN EN.CITE &lt;EndNote&gt;&lt;Cite&gt;&lt;Author&gt;National Water Commission&lt;/Author&gt;&lt;Year&gt;2009&lt;/Year&gt;&lt;RecNum&gt;84&lt;/RecNum&gt;&lt;record&gt;&lt;rec-number&gt;84&lt;/rec-number&gt;&lt;foreign-keys&gt;&lt;key app="EN" db-id="50s0sw00tv5rvlessrsvpfd52f0zefprpafd"&gt;84&lt;/key&gt;&lt;/foreign-keys&gt;&lt;ref-type name="W</w:instrText>
      </w:r>
      <w:r>
        <w:rPr>
          <w:lang w:val="en-GB"/>
        </w:rPr>
        <w:instrText>eb Page"&gt;12&lt;/ref-type&gt;&lt;contributors&gt;&lt;authors&gt;&lt;author&gt;National Water Commission,&lt;/author&gt;&lt;/authors&gt;&lt;/contributors&gt;&lt;titles&gt;&lt;title&gt;National Water Initiative &lt;/title&gt;&lt;/titles&gt;&lt;volume&gt;2009&lt;/volume&gt;&lt;number&gt;8 May&lt;/number&gt;&lt;dates&gt;&lt;year&gt;2009&lt;/year&gt;&lt;/dates&gt;&lt;urls&gt;&lt;rel</w:instrText>
      </w:r>
      <w:r>
        <w:rPr>
          <w:lang w:val="en-GB"/>
        </w:rPr>
        <w:instrText>ated-urls&gt;&lt;url&gt;http://www.nwc.gov.au/www/html/117-national-water-initiative.asp?intSiteID=1&lt;/url&gt;&lt;/related-urls&gt;&lt;/urls&gt;&lt;/record&gt;&lt;/Cite&gt;&lt;/EndNote&gt;</w:instrText>
      </w:r>
      <w:r>
        <w:rPr>
          <w:lang w:val="en-GB"/>
        </w:rPr>
        <w:fldChar w:fldCharType="separate"/>
      </w:r>
      <w:r>
        <w:rPr>
          <w:lang w:val="en-GB"/>
        </w:rPr>
        <w:t>(National Water Commission 2009a)</w:t>
      </w:r>
      <w:r>
        <w:rPr>
          <w:lang w:val="en-GB"/>
        </w:rPr>
        <w:fldChar w:fldCharType="end"/>
      </w:r>
      <w:r>
        <w:rPr>
          <w:lang w:val="en-GB"/>
        </w:rPr>
        <w:t xml:space="preserve">. </w:t>
      </w:r>
    </w:p>
    <w:p w14:paraId="6DFD5B75" w14:textId="77777777" w:rsidR="00000000" w:rsidRDefault="00DB4BBA">
      <w:pPr>
        <w:pStyle w:val="Text"/>
        <w:rPr>
          <w:lang w:val="en-GB"/>
        </w:rPr>
      </w:pPr>
      <w:r>
        <w:rPr>
          <w:lang w:val="en-GB"/>
        </w:rPr>
        <w:t>The overall objective of the NWI is ‘</w:t>
      </w:r>
      <w:r>
        <w:rPr>
          <w:lang w:val="en-GB"/>
        </w:rPr>
        <w:t xml:space="preserve">to achieve a nationally compatible market, regulatory and planning based system of managing surface and groundwater resources for rural and urban use that optimises economic, social and environmental outcomes’ </w:t>
      </w:r>
      <w:r>
        <w:rPr>
          <w:lang w:val="en-GB"/>
        </w:rPr>
        <w:fldChar w:fldCharType="begin"/>
      </w:r>
      <w:r>
        <w:rPr>
          <w:lang w:val="en-GB"/>
        </w:rPr>
        <w:instrText xml:space="preserve"> ADDIN EN.CITE &lt;EndNote&gt;&lt;Cite&gt;&lt;Author&gt;National</w:instrText>
      </w:r>
      <w:r>
        <w:rPr>
          <w:lang w:val="en-GB"/>
        </w:rPr>
        <w:instrText xml:space="preserve"> Water Commission&lt;/Author&gt;&lt;Year&gt;2009&lt;/Year&gt;&lt;RecNum&gt;84&lt;/RecNum&gt;&lt;record&gt;&lt;rec-number&gt;84&lt;/rec-number&gt;&lt;foreign-keys&gt;&lt;key app="EN" db-id="50s0sw00tv5rvlessrsvpfd52f0zefprpafd"&gt;84&lt;/key&gt;&lt;/foreign-keys&gt;&lt;ref-type name="Web Page"&gt;12&lt;/ref-type&gt;&lt;contributors&gt;&lt;authors&gt;&lt;</w:instrText>
      </w:r>
      <w:r>
        <w:rPr>
          <w:lang w:val="en-GB"/>
        </w:rPr>
        <w:instrText>author&gt;National Water Commission,&lt;/author&gt;&lt;/authors&gt;&lt;/contributors&gt;&lt;titles&gt;&lt;title&gt;National Water Initiative &lt;/title&gt;&lt;/titles&gt;&lt;volume&gt;2009&lt;/volume&gt;&lt;number&gt;8 May&lt;/number&gt;&lt;dates&gt;&lt;year&gt;2009&lt;/year&gt;&lt;/dates&gt;&lt;urls&gt;&lt;related-urls&gt;&lt;url&gt;http://www.nwc.gov.au/www/html/</w:instrText>
      </w:r>
      <w:r>
        <w:rPr>
          <w:lang w:val="en-GB"/>
        </w:rPr>
        <w:instrText>117-national-water-initiative.asp?intSiteID=1&lt;/url&gt;&lt;/related-urls&gt;&lt;/urls&gt;&lt;/record&gt;&lt;/Cite&gt;&lt;/EndNote&gt;</w:instrText>
      </w:r>
      <w:r>
        <w:rPr>
          <w:lang w:val="en-GB"/>
        </w:rPr>
        <w:fldChar w:fldCharType="separate"/>
      </w:r>
      <w:r>
        <w:rPr>
          <w:lang w:val="en-GB"/>
        </w:rPr>
        <w:t>(National Water Commission 2009a)</w:t>
      </w:r>
      <w:r>
        <w:rPr>
          <w:lang w:val="en-GB"/>
        </w:rPr>
        <w:fldChar w:fldCharType="end"/>
      </w:r>
      <w:r>
        <w:rPr>
          <w:lang w:val="en-GB"/>
        </w:rPr>
        <w:t>.</w:t>
      </w:r>
    </w:p>
    <w:p w14:paraId="2BAA8B45" w14:textId="77777777" w:rsidR="00000000" w:rsidRDefault="00DB4BBA">
      <w:pPr>
        <w:pStyle w:val="Text"/>
        <w:rPr>
          <w:lang w:val="en-GB"/>
        </w:rPr>
      </w:pPr>
      <w:r>
        <w:rPr>
          <w:lang w:val="en-GB"/>
        </w:rPr>
        <w:t xml:space="preserve">It is into this overall policy framework that the Water Efficiency Labelling and Standards (WELS) scheme fits. </w:t>
      </w:r>
    </w:p>
    <w:p w14:paraId="48ADA1F8" w14:textId="77777777" w:rsidR="00000000" w:rsidRDefault="00DB4BBA">
      <w:pPr>
        <w:pStyle w:val="Heading3"/>
        <w:ind w:left="709" w:hanging="709"/>
        <w:rPr>
          <w:lang w:val="en-GB"/>
        </w:rPr>
      </w:pPr>
      <w:bookmarkStart w:id="10" w:name="_Toc100638766"/>
      <w:bookmarkStart w:id="11" w:name="_Toc109801762"/>
      <w:bookmarkStart w:id="12" w:name="_Toc118523875"/>
      <w:r>
        <w:rPr>
          <w:lang w:val="en-GB"/>
        </w:rPr>
        <w:lastRenderedPageBreak/>
        <w:t>Water Efficiency Labelling and Standards Scheme</w:t>
      </w:r>
      <w:bookmarkEnd w:id="10"/>
      <w:bookmarkEnd w:id="11"/>
      <w:bookmarkEnd w:id="12"/>
    </w:p>
    <w:p w14:paraId="482B8102" w14:textId="77777777" w:rsidR="00000000" w:rsidRDefault="00DB4BBA">
      <w:pPr>
        <w:pStyle w:val="Text"/>
        <w:rPr>
          <w:lang w:val="en-GB"/>
        </w:rPr>
      </w:pPr>
      <w:r>
        <w:rPr>
          <w:lang w:val="en-GB"/>
        </w:rPr>
        <w:t xml:space="preserve">The establishment of the WELS scheme was identified in the NWI as a ‘key action for the implementation of demand management measures </w:t>
      </w:r>
      <w:r>
        <w:rPr>
          <w:lang w:val="en-GB"/>
        </w:rPr>
        <w:t xml:space="preserve">for urban water reform’ </w:t>
      </w:r>
      <w:r>
        <w:rPr>
          <w:lang w:val="en-GB"/>
        </w:rPr>
        <w:fldChar w:fldCharType="begin"/>
      </w:r>
      <w:r>
        <w:rPr>
          <w:lang w:val="en-GB"/>
        </w:rPr>
        <w:instrText xml:space="preserve"> ADDIN EN.CITE &lt;EndNote&gt;&lt;Cite&gt;&lt;Author&gt;National Water Commission&lt;/Author&gt;&lt;Year&gt;2009&lt;/Year&gt;&lt;RecNum&gt;120&lt;/RecNum&gt;&lt;record&gt;&lt;rec-number&gt;120&lt;/rec-number&gt;&lt;foreign-keys&gt;&lt;key app="EN" db-id="50s0sw00tv5rvlessrsvpfd52f0zefprpafd"&gt;120&lt;/key&gt;&lt;/for</w:instrText>
      </w:r>
      <w:r>
        <w:rPr>
          <w:lang w:val="en-GB"/>
        </w:rPr>
        <w:instrText>eign-keys&gt;&lt;ref-type name="Web Page"&gt;12&lt;/ref-type&gt;&lt;contributors&gt;&lt;authors&gt;&lt;author&gt;National Water Commission,&lt;/author&gt;&lt;/authors&gt;&lt;/contributors&gt;&lt;titles&gt;&lt;title&gt;Water efficiency labelling and standards (WELS) scheme - phase 2&lt;/title&gt;&lt;/titles&gt;&lt;volume&gt;2009&lt;/volume</w:instrText>
      </w:r>
      <w:r>
        <w:rPr>
          <w:lang w:val="en-GB"/>
        </w:rPr>
        <w:instrText>&gt;&lt;number&gt;28 July&lt;/number&gt;&lt;dates&gt;&lt;year&gt;2009&lt;/year&gt;&lt;/dates&gt;&lt;urls&gt;&lt;related-urls&gt;&lt;url&gt;http://www.nwc.gov.au/www/html/507-water-efficiency-labelling-and-standards-wels-schemephase-2.asp&lt;/url&gt;&lt;/related-urls&gt;&lt;/urls&gt;&lt;/record&gt;&lt;/Cite&gt;&lt;/EndNote&gt;</w:instrText>
      </w:r>
      <w:r>
        <w:rPr>
          <w:lang w:val="en-GB"/>
        </w:rPr>
        <w:fldChar w:fldCharType="separate"/>
      </w:r>
      <w:r>
        <w:rPr>
          <w:lang w:val="en-GB"/>
        </w:rPr>
        <w:t>(National Water Commis</w:t>
      </w:r>
      <w:r>
        <w:rPr>
          <w:lang w:val="en-GB"/>
        </w:rPr>
        <w:t>sion 2009b)</w:t>
      </w:r>
      <w:r>
        <w:rPr>
          <w:lang w:val="en-GB"/>
        </w:rPr>
        <w:fldChar w:fldCharType="end"/>
      </w:r>
      <w:r>
        <w:rPr>
          <w:lang w:val="en-GB"/>
        </w:rPr>
        <w:t>. The WELS scheme labels a range of products for water efficiency, providing consumers with information so they can consider water efficiency in their purchasing decisions of certain products. It also has the power to impose minimum water eff</w:t>
      </w:r>
      <w:r>
        <w:rPr>
          <w:lang w:val="en-GB"/>
        </w:rPr>
        <w:t>iciency standards (WES) where appropriate.</w:t>
      </w:r>
    </w:p>
    <w:p w14:paraId="4801025E" w14:textId="77777777" w:rsidR="00000000" w:rsidRDefault="00DB4BBA">
      <w:pPr>
        <w:pStyle w:val="Text"/>
        <w:rPr>
          <w:lang w:val="en-GB"/>
        </w:rPr>
      </w:pPr>
      <w:r>
        <w:rPr>
          <w:lang w:val="en-GB"/>
        </w:rPr>
        <w:t>The Commonwealth Department of the Environment, Water, Heritage and the Arts (DEWHA) administers the WELS scheme, in partnership with state and territory governments. The WELS scheme is underpinned by the Australi</w:t>
      </w:r>
      <w:r>
        <w:rPr>
          <w:lang w:val="en-GB"/>
        </w:rPr>
        <w:t xml:space="preserve">an Government </w:t>
      </w:r>
      <w:r>
        <w:rPr>
          <w:i/>
          <w:lang w:val="en-GB"/>
        </w:rPr>
        <w:t>Water Efficiency Labelling and Standards Act 2005</w:t>
      </w:r>
      <w:r>
        <w:rPr>
          <w:lang w:val="en-GB"/>
        </w:rPr>
        <w:t xml:space="preserve">, and supported by the </w:t>
      </w:r>
      <w:r>
        <w:rPr>
          <w:i/>
          <w:lang w:val="en-GB"/>
        </w:rPr>
        <w:t>Water Efficiency Labelling and Standards Regulations 2005</w:t>
      </w:r>
      <w:r>
        <w:rPr>
          <w:lang w:val="en-GB"/>
        </w:rPr>
        <w:t xml:space="preserve">, the </w:t>
      </w:r>
      <w:r>
        <w:rPr>
          <w:i/>
          <w:lang w:val="en-GB"/>
        </w:rPr>
        <w:t>Water Efficiency Labelling and Standards Declaration 2005</w:t>
      </w:r>
      <w:r>
        <w:rPr>
          <w:lang w:val="en-GB"/>
        </w:rPr>
        <w:t xml:space="preserve"> and the </w:t>
      </w:r>
      <w:r>
        <w:rPr>
          <w:i/>
          <w:lang w:val="en-GB"/>
        </w:rPr>
        <w:t xml:space="preserve">Water Efficiency Labelling and Standards </w:t>
      </w:r>
      <w:r>
        <w:rPr>
          <w:i/>
          <w:lang w:val="en-GB"/>
        </w:rPr>
        <w:t xml:space="preserve">Determination 2007. </w:t>
      </w:r>
    </w:p>
    <w:p w14:paraId="69C4A56A" w14:textId="77777777" w:rsidR="00000000" w:rsidRDefault="00DB4BBA">
      <w:pPr>
        <w:pStyle w:val="Text"/>
        <w:rPr>
          <w:lang w:val="en-GB"/>
        </w:rPr>
      </w:pPr>
      <w:r>
        <w:rPr>
          <w:lang w:val="en-GB"/>
        </w:rPr>
        <w:t xml:space="preserve">The WELS legislative framework gives the Minister the authority to select products for inclusion in the WELS scheme, and to set the applicable standards and requirements. The legislation also provides for registration and labelling of </w:t>
      </w:r>
      <w:r>
        <w:rPr>
          <w:lang w:val="en-GB"/>
        </w:rPr>
        <w:t>WELS products (including setting the fee to register a product) and enforcement (including the employment of WELS inspectors and procedures for penalising and prosecuting offences under the Act). The AS/NZS 6400 is currently determined as the WELS standard</w:t>
      </w:r>
      <w:r>
        <w:rPr>
          <w:lang w:val="en-GB"/>
        </w:rPr>
        <w:t>s. AS/NZS 6400 specifies the methods of testing for water efficiency and is the guideline underpinning the star-rating scheme for WELS.</w:t>
      </w:r>
      <w:r>
        <w:rPr>
          <w:rStyle w:val="FootnoteReference"/>
          <w:lang w:val="en-GB"/>
        </w:rPr>
        <w:footnoteReference w:id="1"/>
      </w:r>
    </w:p>
    <w:p w14:paraId="380AC879" w14:textId="77777777" w:rsidR="00000000" w:rsidRDefault="00DB4BBA">
      <w:pPr>
        <w:pStyle w:val="Text"/>
        <w:rPr>
          <w:lang w:val="en-GB"/>
        </w:rPr>
      </w:pPr>
      <w:r>
        <w:rPr>
          <w:lang w:val="en-GB"/>
        </w:rPr>
        <w:fldChar w:fldCharType="begin"/>
      </w:r>
      <w:r>
        <w:rPr>
          <w:lang w:val="en-GB"/>
        </w:rPr>
        <w:instrText xml:space="preserve"> REF _Ref108683559 \n \h </w:instrText>
      </w:r>
      <w:r>
        <w:rPr>
          <w:lang w:val="en-GB"/>
        </w:rPr>
      </w:r>
      <w:r>
        <w:rPr>
          <w:lang w:val="en-GB"/>
        </w:rPr>
        <w:fldChar w:fldCharType="separate"/>
      </w:r>
      <w:r>
        <w:rPr>
          <w:lang w:val="en-GB"/>
        </w:rPr>
        <w:t>Table 1.1</w:t>
      </w:r>
      <w:r>
        <w:rPr>
          <w:lang w:val="en-GB"/>
        </w:rPr>
        <w:fldChar w:fldCharType="end"/>
      </w:r>
      <w:r>
        <w:rPr>
          <w:lang w:val="en-GB"/>
        </w:rPr>
        <w:t xml:space="preserve"> summarises products currently covered by the </w:t>
      </w:r>
      <w:r>
        <w:rPr>
          <w:lang w:val="en-GB"/>
        </w:rPr>
        <w:t>WELS scheme. Registration and label</w:t>
      </w:r>
      <w:r>
        <w:rPr>
          <w:lang w:val="en-GB"/>
        </w:rPr>
        <w:t>ling became mandatory for all new products from 1 July 2006</w:t>
      </w:r>
      <w:r>
        <w:rPr>
          <w:rStyle w:val="FootnoteReference"/>
          <w:lang w:val="en-GB"/>
        </w:rPr>
        <w:footnoteReference w:id="2"/>
      </w:r>
      <w:r>
        <w:rPr>
          <w:lang w:val="en-GB"/>
        </w:rPr>
        <w:t xml:space="preserve">. Prior to this, registration and labelling had been available to industry on a voluntary basis until July 2006. At present, toilets are the only product </w:t>
      </w:r>
      <w:r>
        <w:rPr>
          <w:lang w:val="en-GB"/>
        </w:rPr>
        <w:t>to which a minimum WES has been applied.</w:t>
      </w:r>
    </w:p>
    <w:p w14:paraId="10B99231" w14:textId="77777777" w:rsidR="00000000" w:rsidRDefault="00DB4BBA">
      <w:pPr>
        <w:pStyle w:val="Heading8"/>
        <w:ind w:left="-2835"/>
      </w:pPr>
      <w:bookmarkStart w:id="13" w:name="_Ref108683559"/>
    </w:p>
    <w:bookmarkEnd w:id="13"/>
    <w:p w14:paraId="3A2A192C" w14:textId="77777777" w:rsidR="00000000" w:rsidRDefault="00DB4BBA">
      <w:pPr>
        <w:pStyle w:val="TableTitle"/>
        <w:ind w:left="-2835" w:right="56"/>
      </w:pPr>
      <w:r>
        <w:t>current scope of WELS Scheme</w:t>
      </w:r>
    </w:p>
    <w:tbl>
      <w:tblPr>
        <w:tblW w:w="10348" w:type="dxa"/>
        <w:tblInd w:w="-2727" w:type="dxa"/>
        <w:tblBorders>
          <w:bottom w:val="single" w:sz="8" w:space="0" w:color="808080"/>
        </w:tblBorders>
        <w:tblLayout w:type="fixed"/>
        <w:tblLook w:val="0000" w:firstRow="0" w:lastRow="0" w:firstColumn="0" w:lastColumn="0" w:noHBand="0" w:noVBand="0"/>
      </w:tblPr>
      <w:tblGrid>
        <w:gridCol w:w="2069"/>
        <w:gridCol w:w="2069"/>
        <w:gridCol w:w="2070"/>
        <w:gridCol w:w="2070"/>
        <w:gridCol w:w="2070"/>
      </w:tblGrid>
      <w:tr w:rsidR="00000000" w14:paraId="309F246A" w14:textId="77777777">
        <w:tblPrEx>
          <w:tblCellMar>
            <w:top w:w="0" w:type="dxa"/>
            <w:bottom w:w="0" w:type="dxa"/>
          </w:tblCellMar>
        </w:tblPrEx>
        <w:trPr>
          <w:trHeight w:val="255"/>
        </w:trPr>
        <w:tc>
          <w:tcPr>
            <w:tcW w:w="1000" w:type="pct"/>
            <w:tcBorders>
              <w:bottom w:val="nil"/>
            </w:tcBorders>
            <w:shd w:val="clear" w:color="auto" w:fill="800000"/>
          </w:tcPr>
          <w:p w14:paraId="7C148FBD" w14:textId="77777777" w:rsidR="00000000" w:rsidRDefault="00DB4BBA">
            <w:pPr>
              <w:pStyle w:val="TableHeads"/>
              <w:spacing w:before="60" w:after="60"/>
              <w:ind w:left="57" w:right="0"/>
            </w:pPr>
            <w:r>
              <w:t>Product</w:t>
            </w:r>
          </w:p>
        </w:tc>
        <w:tc>
          <w:tcPr>
            <w:tcW w:w="1000" w:type="pct"/>
            <w:tcBorders>
              <w:bottom w:val="nil"/>
            </w:tcBorders>
            <w:shd w:val="clear" w:color="auto" w:fill="800000"/>
          </w:tcPr>
          <w:p w14:paraId="3BDB2EEF" w14:textId="77777777" w:rsidR="00000000" w:rsidRDefault="00DB4BBA">
            <w:pPr>
              <w:pStyle w:val="TableHeads"/>
              <w:spacing w:before="60" w:after="60"/>
              <w:ind w:left="57" w:right="0"/>
            </w:pPr>
            <w:r>
              <w:t>Registration</w:t>
            </w:r>
          </w:p>
        </w:tc>
        <w:tc>
          <w:tcPr>
            <w:tcW w:w="1000" w:type="pct"/>
            <w:tcBorders>
              <w:bottom w:val="nil"/>
            </w:tcBorders>
            <w:shd w:val="clear" w:color="auto" w:fill="800000"/>
          </w:tcPr>
          <w:p w14:paraId="62A4689B" w14:textId="77777777" w:rsidR="00000000" w:rsidRDefault="00DB4BBA">
            <w:pPr>
              <w:pStyle w:val="TableHeads"/>
              <w:spacing w:before="60" w:after="60"/>
              <w:ind w:left="57" w:right="0"/>
            </w:pPr>
            <w:r>
              <w:t>Water Efficiency Labelling</w:t>
            </w:r>
          </w:p>
        </w:tc>
        <w:tc>
          <w:tcPr>
            <w:tcW w:w="1000" w:type="pct"/>
            <w:tcBorders>
              <w:bottom w:val="nil"/>
            </w:tcBorders>
            <w:shd w:val="clear" w:color="auto" w:fill="800000"/>
          </w:tcPr>
          <w:p w14:paraId="584DDDB8" w14:textId="77777777" w:rsidR="00000000" w:rsidRDefault="00DB4BBA">
            <w:pPr>
              <w:pStyle w:val="TableHeads"/>
              <w:spacing w:before="60" w:after="60"/>
              <w:ind w:left="57" w:right="0"/>
            </w:pPr>
            <w:r>
              <w:t>Water Efficiency Standard</w:t>
            </w:r>
          </w:p>
        </w:tc>
        <w:tc>
          <w:tcPr>
            <w:tcW w:w="1000" w:type="pct"/>
            <w:tcBorders>
              <w:bottom w:val="nil"/>
            </w:tcBorders>
            <w:shd w:val="clear" w:color="auto" w:fill="800000"/>
          </w:tcPr>
          <w:p w14:paraId="3E3FCCC3" w14:textId="77777777" w:rsidR="00000000" w:rsidRDefault="00DB4BBA">
            <w:pPr>
              <w:pStyle w:val="TableHeads"/>
              <w:spacing w:before="60" w:after="60"/>
              <w:ind w:left="57" w:right="0"/>
            </w:pPr>
            <w:r>
              <w:t>Primary basis for rating (c)</w:t>
            </w:r>
          </w:p>
        </w:tc>
      </w:tr>
      <w:tr w:rsidR="00000000" w14:paraId="4B973914" w14:textId="77777777">
        <w:tblPrEx>
          <w:tblCellMar>
            <w:top w:w="0" w:type="dxa"/>
            <w:bottom w:w="0" w:type="dxa"/>
          </w:tblCellMar>
        </w:tblPrEx>
        <w:trPr>
          <w:trHeight w:val="255"/>
        </w:trPr>
        <w:tc>
          <w:tcPr>
            <w:tcW w:w="1000" w:type="pct"/>
            <w:tcBorders>
              <w:top w:val="nil"/>
            </w:tcBorders>
            <w:shd w:val="clear" w:color="auto" w:fill="E6E6E6"/>
          </w:tcPr>
          <w:p w14:paraId="6444CC99" w14:textId="77777777" w:rsidR="00000000" w:rsidRDefault="00DB4BBA">
            <w:pPr>
              <w:pStyle w:val="TableText"/>
              <w:ind w:left="57" w:right="0"/>
            </w:pPr>
            <w:r>
              <w:t>Shower heads</w:t>
            </w:r>
          </w:p>
        </w:tc>
        <w:tc>
          <w:tcPr>
            <w:tcW w:w="1000" w:type="pct"/>
            <w:tcBorders>
              <w:top w:val="nil"/>
            </w:tcBorders>
            <w:shd w:val="clear" w:color="auto" w:fill="E6E6E6"/>
          </w:tcPr>
          <w:p w14:paraId="3E69FE78" w14:textId="77777777" w:rsidR="00000000" w:rsidRDefault="00DB4BBA">
            <w:pPr>
              <w:pStyle w:val="TableText"/>
              <w:ind w:left="57" w:right="0"/>
            </w:pPr>
            <w:r>
              <w:t>Mandatory</w:t>
            </w:r>
          </w:p>
        </w:tc>
        <w:tc>
          <w:tcPr>
            <w:tcW w:w="1000" w:type="pct"/>
            <w:tcBorders>
              <w:top w:val="nil"/>
            </w:tcBorders>
            <w:shd w:val="clear" w:color="auto" w:fill="E6E6E6"/>
          </w:tcPr>
          <w:p w14:paraId="03542939" w14:textId="77777777" w:rsidR="00000000" w:rsidRDefault="00DB4BBA">
            <w:pPr>
              <w:pStyle w:val="TableText"/>
              <w:ind w:left="57" w:right="0"/>
            </w:pPr>
            <w:r>
              <w:t>Mandatory — stars (b)</w:t>
            </w:r>
          </w:p>
        </w:tc>
        <w:tc>
          <w:tcPr>
            <w:tcW w:w="1000" w:type="pct"/>
            <w:tcBorders>
              <w:top w:val="nil"/>
            </w:tcBorders>
            <w:shd w:val="clear" w:color="auto" w:fill="E6E6E6"/>
          </w:tcPr>
          <w:p w14:paraId="4EBE2B33" w14:textId="77777777" w:rsidR="00000000" w:rsidRDefault="00DB4BBA">
            <w:pPr>
              <w:pStyle w:val="TableText"/>
              <w:ind w:left="57" w:right="0"/>
            </w:pPr>
            <w:r>
              <w:t>No</w:t>
            </w:r>
          </w:p>
        </w:tc>
        <w:tc>
          <w:tcPr>
            <w:tcW w:w="1000" w:type="pct"/>
            <w:tcBorders>
              <w:top w:val="nil"/>
            </w:tcBorders>
            <w:shd w:val="clear" w:color="auto" w:fill="E6E6E6"/>
          </w:tcPr>
          <w:p w14:paraId="708C25E8" w14:textId="77777777" w:rsidR="00000000" w:rsidRDefault="00DB4BBA">
            <w:pPr>
              <w:pStyle w:val="TableText"/>
              <w:ind w:left="57" w:right="0"/>
            </w:pPr>
            <w:r>
              <w:t>l/min</w:t>
            </w:r>
          </w:p>
        </w:tc>
      </w:tr>
      <w:tr w:rsidR="00000000" w14:paraId="5EC24BC0" w14:textId="77777777">
        <w:tblPrEx>
          <w:tblCellMar>
            <w:top w:w="0" w:type="dxa"/>
            <w:bottom w:w="0" w:type="dxa"/>
          </w:tblCellMar>
        </w:tblPrEx>
        <w:trPr>
          <w:trHeight w:val="255"/>
        </w:trPr>
        <w:tc>
          <w:tcPr>
            <w:tcW w:w="1000" w:type="pct"/>
            <w:shd w:val="clear" w:color="auto" w:fill="E6E6E6"/>
          </w:tcPr>
          <w:p w14:paraId="0375A197" w14:textId="77777777" w:rsidR="00000000" w:rsidRDefault="00DB4BBA">
            <w:pPr>
              <w:pStyle w:val="TableText"/>
              <w:ind w:left="57" w:right="0"/>
            </w:pPr>
            <w:r>
              <w:t>Toilets</w:t>
            </w:r>
          </w:p>
        </w:tc>
        <w:tc>
          <w:tcPr>
            <w:tcW w:w="1000" w:type="pct"/>
            <w:shd w:val="clear" w:color="auto" w:fill="E6E6E6"/>
          </w:tcPr>
          <w:p w14:paraId="52C4D1DB" w14:textId="77777777" w:rsidR="00000000" w:rsidRDefault="00DB4BBA">
            <w:pPr>
              <w:pStyle w:val="TableText"/>
              <w:ind w:left="57" w:right="0"/>
            </w:pPr>
            <w:r>
              <w:t>Mandatory</w:t>
            </w:r>
          </w:p>
        </w:tc>
        <w:tc>
          <w:tcPr>
            <w:tcW w:w="1000" w:type="pct"/>
            <w:shd w:val="clear" w:color="auto" w:fill="E6E6E6"/>
          </w:tcPr>
          <w:p w14:paraId="63B39AA5" w14:textId="77777777" w:rsidR="00000000" w:rsidRDefault="00DB4BBA">
            <w:pPr>
              <w:pStyle w:val="TableText"/>
              <w:ind w:left="57" w:right="0"/>
            </w:pPr>
            <w:r>
              <w:t>Mandatory — stars</w:t>
            </w:r>
          </w:p>
        </w:tc>
        <w:tc>
          <w:tcPr>
            <w:tcW w:w="1000" w:type="pct"/>
            <w:shd w:val="clear" w:color="auto" w:fill="E6E6E6"/>
          </w:tcPr>
          <w:p w14:paraId="7C408ED8" w14:textId="77777777" w:rsidR="00000000" w:rsidRDefault="00DB4BBA">
            <w:pPr>
              <w:pStyle w:val="TableText"/>
              <w:ind w:left="57" w:right="0"/>
            </w:pPr>
            <w:r>
              <w:t>Yes</w:t>
            </w:r>
          </w:p>
        </w:tc>
        <w:tc>
          <w:tcPr>
            <w:tcW w:w="1000" w:type="pct"/>
            <w:shd w:val="clear" w:color="auto" w:fill="E6E6E6"/>
          </w:tcPr>
          <w:p w14:paraId="53B4EBAE" w14:textId="77777777" w:rsidR="00000000" w:rsidRDefault="00DB4BBA">
            <w:pPr>
              <w:pStyle w:val="TableText"/>
              <w:ind w:left="57" w:right="0"/>
            </w:pPr>
            <w:r>
              <w:t>Wtd l/flush (d)</w:t>
            </w:r>
          </w:p>
        </w:tc>
      </w:tr>
      <w:tr w:rsidR="00000000" w14:paraId="3D0504E6" w14:textId="77777777">
        <w:tblPrEx>
          <w:tblCellMar>
            <w:top w:w="0" w:type="dxa"/>
            <w:bottom w:w="0" w:type="dxa"/>
          </w:tblCellMar>
        </w:tblPrEx>
        <w:trPr>
          <w:trHeight w:val="255"/>
        </w:trPr>
        <w:tc>
          <w:tcPr>
            <w:tcW w:w="1000" w:type="pct"/>
            <w:shd w:val="clear" w:color="auto" w:fill="E6E6E6"/>
          </w:tcPr>
          <w:p w14:paraId="5EE0E0E9" w14:textId="77777777" w:rsidR="00000000" w:rsidRDefault="00DB4BBA">
            <w:pPr>
              <w:pStyle w:val="TableText"/>
              <w:ind w:left="57" w:right="0"/>
            </w:pPr>
            <w:r>
              <w:t>Clothes washing machines</w:t>
            </w:r>
          </w:p>
        </w:tc>
        <w:tc>
          <w:tcPr>
            <w:tcW w:w="1000" w:type="pct"/>
            <w:shd w:val="clear" w:color="auto" w:fill="E6E6E6"/>
          </w:tcPr>
          <w:p w14:paraId="74213484" w14:textId="77777777" w:rsidR="00000000" w:rsidRDefault="00DB4BBA">
            <w:pPr>
              <w:pStyle w:val="TableText"/>
              <w:ind w:left="57" w:right="0"/>
            </w:pPr>
            <w:r>
              <w:t>Mandatory</w:t>
            </w:r>
          </w:p>
        </w:tc>
        <w:tc>
          <w:tcPr>
            <w:tcW w:w="1000" w:type="pct"/>
            <w:shd w:val="clear" w:color="auto" w:fill="E6E6E6"/>
          </w:tcPr>
          <w:p w14:paraId="38E89F0B" w14:textId="77777777" w:rsidR="00000000" w:rsidRDefault="00DB4BBA">
            <w:pPr>
              <w:pStyle w:val="TableText"/>
              <w:ind w:left="57" w:right="0"/>
            </w:pPr>
            <w:r>
              <w:t>Mandatory — stars (b)</w:t>
            </w:r>
          </w:p>
        </w:tc>
        <w:tc>
          <w:tcPr>
            <w:tcW w:w="1000" w:type="pct"/>
            <w:shd w:val="clear" w:color="auto" w:fill="E6E6E6"/>
          </w:tcPr>
          <w:p w14:paraId="4F2A42D6" w14:textId="77777777" w:rsidR="00000000" w:rsidRDefault="00DB4BBA">
            <w:pPr>
              <w:pStyle w:val="TableText"/>
              <w:ind w:left="57" w:right="0"/>
            </w:pPr>
            <w:r>
              <w:t>No</w:t>
            </w:r>
          </w:p>
        </w:tc>
        <w:tc>
          <w:tcPr>
            <w:tcW w:w="1000" w:type="pct"/>
            <w:shd w:val="clear" w:color="auto" w:fill="E6E6E6"/>
          </w:tcPr>
          <w:p w14:paraId="2352DD6B" w14:textId="77777777" w:rsidR="00000000" w:rsidRDefault="00DB4BBA">
            <w:pPr>
              <w:pStyle w:val="TableText"/>
              <w:ind w:left="57" w:right="0"/>
            </w:pPr>
            <w:r>
              <w:t>l/kg clothes</w:t>
            </w:r>
          </w:p>
        </w:tc>
      </w:tr>
      <w:tr w:rsidR="00000000" w14:paraId="066C3CF6" w14:textId="77777777">
        <w:tblPrEx>
          <w:tblCellMar>
            <w:top w:w="0" w:type="dxa"/>
            <w:bottom w:w="0" w:type="dxa"/>
          </w:tblCellMar>
        </w:tblPrEx>
        <w:trPr>
          <w:trHeight w:val="255"/>
        </w:trPr>
        <w:tc>
          <w:tcPr>
            <w:tcW w:w="1000" w:type="pct"/>
            <w:shd w:val="clear" w:color="auto" w:fill="E6E6E6"/>
          </w:tcPr>
          <w:p w14:paraId="0499B9C9" w14:textId="77777777" w:rsidR="00000000" w:rsidRDefault="00DB4BBA">
            <w:pPr>
              <w:pStyle w:val="TableText"/>
              <w:ind w:left="57" w:right="0"/>
            </w:pPr>
            <w:r>
              <w:t>Dishwashers</w:t>
            </w:r>
          </w:p>
        </w:tc>
        <w:tc>
          <w:tcPr>
            <w:tcW w:w="1000" w:type="pct"/>
            <w:shd w:val="clear" w:color="auto" w:fill="E6E6E6"/>
          </w:tcPr>
          <w:p w14:paraId="1878F969" w14:textId="77777777" w:rsidR="00000000" w:rsidRDefault="00DB4BBA">
            <w:pPr>
              <w:pStyle w:val="TableText"/>
              <w:ind w:left="57" w:right="0"/>
            </w:pPr>
            <w:r>
              <w:t>Mandatory</w:t>
            </w:r>
          </w:p>
        </w:tc>
        <w:tc>
          <w:tcPr>
            <w:tcW w:w="1000" w:type="pct"/>
            <w:shd w:val="clear" w:color="auto" w:fill="E6E6E6"/>
          </w:tcPr>
          <w:p w14:paraId="7404FD1E" w14:textId="77777777" w:rsidR="00000000" w:rsidRDefault="00DB4BBA">
            <w:pPr>
              <w:pStyle w:val="TableText"/>
              <w:ind w:left="57" w:right="0"/>
            </w:pPr>
            <w:r>
              <w:t>Mandatory — stars (b)</w:t>
            </w:r>
          </w:p>
        </w:tc>
        <w:tc>
          <w:tcPr>
            <w:tcW w:w="1000" w:type="pct"/>
            <w:shd w:val="clear" w:color="auto" w:fill="E6E6E6"/>
          </w:tcPr>
          <w:p w14:paraId="7E6F6F24" w14:textId="77777777" w:rsidR="00000000" w:rsidRDefault="00DB4BBA">
            <w:pPr>
              <w:pStyle w:val="TableText"/>
              <w:ind w:left="57" w:right="0"/>
            </w:pPr>
            <w:r>
              <w:t>No</w:t>
            </w:r>
          </w:p>
        </w:tc>
        <w:tc>
          <w:tcPr>
            <w:tcW w:w="1000" w:type="pct"/>
            <w:shd w:val="clear" w:color="auto" w:fill="E6E6E6"/>
          </w:tcPr>
          <w:p w14:paraId="1407B30A" w14:textId="77777777" w:rsidR="00000000" w:rsidRDefault="00DB4BBA">
            <w:pPr>
              <w:pStyle w:val="TableText"/>
              <w:ind w:left="57" w:right="0"/>
            </w:pPr>
            <w:r>
              <w:t>l/place setting</w:t>
            </w:r>
          </w:p>
        </w:tc>
      </w:tr>
      <w:tr w:rsidR="00000000" w14:paraId="2075E901" w14:textId="77777777">
        <w:tblPrEx>
          <w:tblCellMar>
            <w:top w:w="0" w:type="dxa"/>
            <w:bottom w:w="0" w:type="dxa"/>
          </w:tblCellMar>
        </w:tblPrEx>
        <w:trPr>
          <w:trHeight w:val="255"/>
        </w:trPr>
        <w:tc>
          <w:tcPr>
            <w:tcW w:w="1000" w:type="pct"/>
            <w:shd w:val="clear" w:color="auto" w:fill="E6E6E6"/>
          </w:tcPr>
          <w:p w14:paraId="016B50EF" w14:textId="77777777" w:rsidR="00000000" w:rsidRDefault="00DB4BBA">
            <w:pPr>
              <w:pStyle w:val="TableText"/>
              <w:ind w:left="57" w:right="0"/>
            </w:pPr>
            <w:r>
              <w:t>Taps (a)</w:t>
            </w:r>
          </w:p>
        </w:tc>
        <w:tc>
          <w:tcPr>
            <w:tcW w:w="1000" w:type="pct"/>
            <w:shd w:val="clear" w:color="auto" w:fill="E6E6E6"/>
          </w:tcPr>
          <w:p w14:paraId="0D0C90B5" w14:textId="77777777" w:rsidR="00000000" w:rsidRDefault="00DB4BBA">
            <w:pPr>
              <w:pStyle w:val="TableText"/>
              <w:ind w:left="57" w:right="0"/>
            </w:pPr>
            <w:r>
              <w:t>Mandatory</w:t>
            </w:r>
          </w:p>
        </w:tc>
        <w:tc>
          <w:tcPr>
            <w:tcW w:w="1000" w:type="pct"/>
            <w:shd w:val="clear" w:color="auto" w:fill="E6E6E6"/>
          </w:tcPr>
          <w:p w14:paraId="361825DB" w14:textId="77777777" w:rsidR="00000000" w:rsidRDefault="00DB4BBA">
            <w:pPr>
              <w:pStyle w:val="TableText"/>
              <w:ind w:left="57" w:right="0"/>
            </w:pPr>
            <w:r>
              <w:t>Mandatory — stars (b)</w:t>
            </w:r>
          </w:p>
        </w:tc>
        <w:tc>
          <w:tcPr>
            <w:tcW w:w="1000" w:type="pct"/>
            <w:shd w:val="clear" w:color="auto" w:fill="E6E6E6"/>
          </w:tcPr>
          <w:p w14:paraId="57710714" w14:textId="77777777" w:rsidR="00000000" w:rsidRDefault="00DB4BBA">
            <w:pPr>
              <w:pStyle w:val="TableText"/>
              <w:ind w:left="57" w:right="0"/>
            </w:pPr>
            <w:r>
              <w:t>No</w:t>
            </w:r>
          </w:p>
        </w:tc>
        <w:tc>
          <w:tcPr>
            <w:tcW w:w="1000" w:type="pct"/>
            <w:shd w:val="clear" w:color="auto" w:fill="E6E6E6"/>
          </w:tcPr>
          <w:p w14:paraId="26297B8F" w14:textId="77777777" w:rsidR="00000000" w:rsidRDefault="00DB4BBA">
            <w:pPr>
              <w:pStyle w:val="TableText"/>
              <w:ind w:left="57" w:right="0"/>
            </w:pPr>
            <w:r>
              <w:t>l/min</w:t>
            </w:r>
          </w:p>
        </w:tc>
      </w:tr>
      <w:tr w:rsidR="00000000" w14:paraId="67E4258D" w14:textId="77777777">
        <w:tblPrEx>
          <w:tblCellMar>
            <w:top w:w="0" w:type="dxa"/>
            <w:bottom w:w="0" w:type="dxa"/>
          </w:tblCellMar>
        </w:tblPrEx>
        <w:trPr>
          <w:trHeight w:val="255"/>
        </w:trPr>
        <w:tc>
          <w:tcPr>
            <w:tcW w:w="1000" w:type="pct"/>
            <w:shd w:val="clear" w:color="auto" w:fill="E6E6E6"/>
          </w:tcPr>
          <w:p w14:paraId="66788CD9" w14:textId="77777777" w:rsidR="00000000" w:rsidRDefault="00DB4BBA">
            <w:pPr>
              <w:pStyle w:val="TableText"/>
              <w:ind w:left="57" w:right="0"/>
            </w:pPr>
            <w:r>
              <w:t>Urinal equipment</w:t>
            </w:r>
          </w:p>
        </w:tc>
        <w:tc>
          <w:tcPr>
            <w:tcW w:w="1000" w:type="pct"/>
            <w:shd w:val="clear" w:color="auto" w:fill="E6E6E6"/>
          </w:tcPr>
          <w:p w14:paraId="39C05798" w14:textId="77777777" w:rsidR="00000000" w:rsidRDefault="00DB4BBA">
            <w:pPr>
              <w:pStyle w:val="TableText"/>
              <w:ind w:left="57" w:right="0"/>
            </w:pPr>
            <w:r>
              <w:t>Mandatory</w:t>
            </w:r>
          </w:p>
        </w:tc>
        <w:tc>
          <w:tcPr>
            <w:tcW w:w="1000" w:type="pct"/>
            <w:shd w:val="clear" w:color="auto" w:fill="E6E6E6"/>
          </w:tcPr>
          <w:p w14:paraId="22ED383D" w14:textId="77777777" w:rsidR="00000000" w:rsidRDefault="00DB4BBA">
            <w:pPr>
              <w:pStyle w:val="TableText"/>
              <w:ind w:left="57" w:right="0"/>
            </w:pPr>
            <w:r>
              <w:t>Mandatory — stars (b)</w:t>
            </w:r>
          </w:p>
        </w:tc>
        <w:tc>
          <w:tcPr>
            <w:tcW w:w="1000" w:type="pct"/>
            <w:shd w:val="clear" w:color="auto" w:fill="E6E6E6"/>
          </w:tcPr>
          <w:p w14:paraId="019343B9" w14:textId="77777777" w:rsidR="00000000" w:rsidRDefault="00DB4BBA">
            <w:pPr>
              <w:pStyle w:val="TableText"/>
              <w:ind w:left="57" w:right="0"/>
            </w:pPr>
            <w:r>
              <w:t>No</w:t>
            </w:r>
          </w:p>
        </w:tc>
        <w:tc>
          <w:tcPr>
            <w:tcW w:w="1000" w:type="pct"/>
            <w:shd w:val="clear" w:color="auto" w:fill="E6E6E6"/>
          </w:tcPr>
          <w:p w14:paraId="0999AF3B" w14:textId="77777777" w:rsidR="00000000" w:rsidRDefault="00DB4BBA">
            <w:pPr>
              <w:pStyle w:val="TableText"/>
              <w:ind w:left="57" w:right="0"/>
            </w:pPr>
            <w:r>
              <w:t>l/flush (e)</w:t>
            </w:r>
          </w:p>
        </w:tc>
      </w:tr>
      <w:tr w:rsidR="00000000" w14:paraId="4FB98635" w14:textId="77777777">
        <w:tblPrEx>
          <w:tblCellMar>
            <w:top w:w="0" w:type="dxa"/>
            <w:bottom w:w="0" w:type="dxa"/>
          </w:tblCellMar>
        </w:tblPrEx>
        <w:trPr>
          <w:trHeight w:val="255"/>
        </w:trPr>
        <w:tc>
          <w:tcPr>
            <w:tcW w:w="1000" w:type="pct"/>
            <w:tcBorders>
              <w:bottom w:val="single" w:sz="8" w:space="0" w:color="808080"/>
            </w:tcBorders>
            <w:shd w:val="clear" w:color="auto" w:fill="E6E6E6"/>
          </w:tcPr>
          <w:p w14:paraId="368183A1" w14:textId="77777777" w:rsidR="00000000" w:rsidRDefault="00DB4BBA">
            <w:pPr>
              <w:pStyle w:val="TableText"/>
              <w:ind w:left="57" w:right="0"/>
            </w:pPr>
            <w:r>
              <w:t>Flow Controllers</w:t>
            </w:r>
          </w:p>
        </w:tc>
        <w:tc>
          <w:tcPr>
            <w:tcW w:w="1000" w:type="pct"/>
            <w:tcBorders>
              <w:bottom w:val="single" w:sz="8" w:space="0" w:color="808080"/>
            </w:tcBorders>
            <w:shd w:val="clear" w:color="auto" w:fill="E6E6E6"/>
          </w:tcPr>
          <w:p w14:paraId="21A37AC7" w14:textId="77777777" w:rsidR="00000000" w:rsidRDefault="00DB4BBA">
            <w:pPr>
              <w:pStyle w:val="TableText"/>
              <w:ind w:left="57" w:right="0"/>
            </w:pPr>
            <w:r>
              <w:t>Optional</w:t>
            </w:r>
          </w:p>
        </w:tc>
        <w:tc>
          <w:tcPr>
            <w:tcW w:w="1000" w:type="pct"/>
            <w:tcBorders>
              <w:bottom w:val="single" w:sz="8" w:space="0" w:color="808080"/>
            </w:tcBorders>
            <w:shd w:val="clear" w:color="auto" w:fill="E6E6E6"/>
          </w:tcPr>
          <w:p w14:paraId="17A9DC1E" w14:textId="77777777" w:rsidR="00000000" w:rsidRDefault="00DB4BBA">
            <w:pPr>
              <w:pStyle w:val="TableText"/>
              <w:ind w:left="57" w:right="0"/>
            </w:pPr>
            <w:r>
              <w:t>Optional</w:t>
            </w:r>
          </w:p>
        </w:tc>
        <w:tc>
          <w:tcPr>
            <w:tcW w:w="1000" w:type="pct"/>
            <w:tcBorders>
              <w:bottom w:val="single" w:sz="8" w:space="0" w:color="808080"/>
            </w:tcBorders>
            <w:shd w:val="clear" w:color="auto" w:fill="E6E6E6"/>
          </w:tcPr>
          <w:p w14:paraId="6A6E2ABC" w14:textId="77777777" w:rsidR="00000000" w:rsidRDefault="00DB4BBA">
            <w:pPr>
              <w:pStyle w:val="TableText"/>
              <w:ind w:left="57" w:right="0"/>
            </w:pPr>
            <w:r>
              <w:t>No</w:t>
            </w:r>
          </w:p>
        </w:tc>
        <w:tc>
          <w:tcPr>
            <w:tcW w:w="1000" w:type="pct"/>
            <w:tcBorders>
              <w:bottom w:val="single" w:sz="8" w:space="0" w:color="808080"/>
            </w:tcBorders>
            <w:shd w:val="clear" w:color="auto" w:fill="E6E6E6"/>
          </w:tcPr>
          <w:p w14:paraId="1F6A6536" w14:textId="77777777" w:rsidR="00000000" w:rsidRDefault="00DB4BBA">
            <w:pPr>
              <w:pStyle w:val="TableText"/>
              <w:ind w:left="57" w:right="0"/>
            </w:pPr>
            <w:r>
              <w:t>l/min</w:t>
            </w:r>
          </w:p>
        </w:tc>
      </w:tr>
    </w:tbl>
    <w:p w14:paraId="1B5E84EF" w14:textId="77777777" w:rsidR="00000000" w:rsidRDefault="00DB4BBA">
      <w:pPr>
        <w:pStyle w:val="TableSource"/>
        <w:ind w:left="-2835"/>
      </w:pPr>
      <w:r>
        <w:t xml:space="preserve">Source: </w:t>
      </w:r>
      <w:r>
        <w:rPr>
          <w:rFonts w:cs="TimesNewRomanPSMT"/>
          <w:szCs w:val="18"/>
          <w:lang w:val="en-US"/>
        </w:rPr>
        <w:t>(a) For use over a basin, ablution trough, kitchen sink or laundry tub. (b) Zero star label for models not meeting performance requirements. (c) See AS</w:t>
      </w:r>
      <w:r>
        <w:rPr>
          <w:rFonts w:cs="TimesNewRomanPSMT"/>
          <w:i/>
          <w:iCs/>
          <w:szCs w:val="18"/>
          <w:lang w:val="en-US"/>
        </w:rPr>
        <w:t xml:space="preserve">/NZS </w:t>
      </w:r>
      <w:r>
        <w:rPr>
          <w:rFonts w:cs="TimesNewRomanPSMT"/>
          <w:szCs w:val="18"/>
          <w:lang w:val="en-US"/>
        </w:rPr>
        <w:t>6400:2005</w:t>
      </w:r>
      <w:r>
        <w:rPr>
          <w:rFonts w:cs="TimesNewRomanPSMT"/>
          <w:i/>
          <w:iCs/>
          <w:szCs w:val="18"/>
          <w:lang w:val="en-US"/>
        </w:rPr>
        <w:t xml:space="preserve"> Water efficient products - Rating and labeling</w:t>
      </w:r>
      <w:r>
        <w:rPr>
          <w:rFonts w:cs="TimesNewRomanPSMT"/>
          <w:szCs w:val="18"/>
          <w:lang w:val="en-US"/>
        </w:rPr>
        <w:t>. (d) Average of 1 full and 4 partial flushes (e) Secondary rating criterion is mode of activation.</w:t>
      </w:r>
    </w:p>
    <w:p w14:paraId="141E8AF6" w14:textId="77777777" w:rsidR="00000000" w:rsidRDefault="00DB4BBA">
      <w:pPr>
        <w:pStyle w:val="Text"/>
        <w:rPr>
          <w:lang w:val="en-GB"/>
        </w:rPr>
      </w:pPr>
      <w:r>
        <w:rPr>
          <w:lang w:val="en-GB"/>
        </w:rPr>
        <w:t>In the 2008/09 financial year 1,676 product models were registered under the WELS scheme, bringing the total number of product models registered since its i</w:t>
      </w:r>
      <w:r>
        <w:rPr>
          <w:lang w:val="en-GB"/>
        </w:rPr>
        <w:t xml:space="preserve">ntroduction to 12,088. </w:t>
      </w:r>
    </w:p>
    <w:p w14:paraId="72C5B371" w14:textId="77777777" w:rsidR="00000000" w:rsidRDefault="00DB4BBA">
      <w:pPr>
        <w:pStyle w:val="Heading3"/>
        <w:ind w:left="709" w:hanging="709"/>
        <w:rPr>
          <w:lang w:val="en-GB"/>
        </w:rPr>
      </w:pPr>
      <w:bookmarkStart w:id="14" w:name="_Toc109801763"/>
      <w:bookmarkStart w:id="15" w:name="_Toc118523876"/>
      <w:r>
        <w:rPr>
          <w:lang w:val="en-GB"/>
        </w:rPr>
        <w:t>Expanding the WELS program</w:t>
      </w:r>
      <w:bookmarkEnd w:id="14"/>
      <w:bookmarkEnd w:id="15"/>
    </w:p>
    <w:p w14:paraId="2581D91C" w14:textId="77777777" w:rsidR="00000000" w:rsidRDefault="00DB4BBA">
      <w:pPr>
        <w:pStyle w:val="Text"/>
      </w:pPr>
      <w:r>
        <w:t>In November 2006, the Environment Protection and Heritage Council (EPHC) agreed to a long-term program of work to investigate the possible introducti</w:t>
      </w:r>
      <w:r>
        <w:t>on of minimum water efficiency standards for existing WELS scheme products outlined in Table 1.1, and the potential inclusion of new products into the scheme. Products considered for inclusion in the WELS scheme were combination washer/dryers that use wate</w:t>
      </w:r>
      <w:r>
        <w:t>r in dryer mode</w:t>
      </w:r>
      <w:r>
        <w:rPr>
          <w:rStyle w:val="FootnoteReference"/>
        </w:rPr>
        <w:footnoteReference w:id="3"/>
      </w:r>
      <w:r>
        <w:t>, evaporative air conditioners, instantaneous gas water heaters, hot water circulators and domestic irrigations event controllers. The program of work also involves consideration of raising the existing minimum WES for toilets.</w:t>
      </w:r>
    </w:p>
    <w:p w14:paraId="0172BFBF" w14:textId="77777777" w:rsidR="00000000" w:rsidRDefault="00DB4BBA">
      <w:pPr>
        <w:pStyle w:val="Text"/>
        <w:rPr>
          <w:lang w:val="en-GB"/>
        </w:rPr>
      </w:pPr>
      <w:r>
        <w:t>P</w:t>
      </w:r>
      <w:r>
        <w:rPr>
          <w:lang w:val="en-GB"/>
        </w:rPr>
        <w:t>roducts considered for poss</w:t>
      </w:r>
      <w:r>
        <w:rPr>
          <w:lang w:val="en-GB"/>
        </w:rPr>
        <w:t xml:space="preserve">ible inclusion into the WELS scheme were chosen based on the recommendations of a 2005 concept report prepared by George Wilkenfeld and Associates for DEWHA: </w:t>
      </w:r>
      <w:r>
        <w:rPr>
          <w:i/>
          <w:lang w:val="en-GB"/>
        </w:rPr>
        <w:t>Expanding the Water Efficiency Labelling and Standards Scheme</w:t>
      </w:r>
      <w:r>
        <w:rPr>
          <w:lang w:val="en-GB"/>
        </w:rPr>
        <w:t xml:space="preserve">. This report found that evaporative </w:t>
      </w:r>
      <w:r>
        <w:rPr>
          <w:lang w:val="en-GB"/>
        </w:rPr>
        <w:t>air conditioners, hot water circulators (on their own and interacting with water heaters) and condensing clothes dryers were products with the highest priority for inclusion into the WELS scheme.</w:t>
      </w:r>
    </w:p>
    <w:p w14:paraId="2A32BB2F" w14:textId="77777777" w:rsidR="00000000" w:rsidRDefault="00DB4BBA">
      <w:pPr>
        <w:pStyle w:val="Heading3"/>
        <w:ind w:left="709" w:hanging="709"/>
        <w:rPr>
          <w:lang w:val="en-GB"/>
        </w:rPr>
      </w:pPr>
      <w:bookmarkStart w:id="16" w:name="_Toc109801764"/>
      <w:bookmarkStart w:id="17" w:name="_Toc118523877"/>
      <w:r>
        <w:rPr>
          <w:lang w:val="en-GB"/>
        </w:rPr>
        <w:t>This report</w:t>
      </w:r>
      <w:bookmarkEnd w:id="16"/>
      <w:bookmarkEnd w:id="17"/>
    </w:p>
    <w:p w14:paraId="7743C7C6" w14:textId="77777777" w:rsidR="00000000" w:rsidRDefault="00DB4BBA">
      <w:pPr>
        <w:pStyle w:val="Text"/>
        <w:rPr>
          <w:lang w:val="en-GB"/>
        </w:rPr>
      </w:pPr>
      <w:r>
        <w:rPr>
          <w:lang w:val="en-GB"/>
        </w:rPr>
        <w:t>This report is a paper commissioned by DEWHA to analyse the appropriateness of including domestic irrigation controllers in the proposed expansion of the WELS scheme for labelling and minimum WES from a regulatory perspective. It uses the guideline</w:t>
      </w:r>
      <w:r>
        <w:rPr>
          <w:lang w:val="en-GB"/>
        </w:rPr>
        <w:t>s outlined by the Office of Best Practice Regulation as the framework for this analysis.</w:t>
      </w:r>
    </w:p>
    <w:bookmarkEnd w:id="5"/>
    <w:bookmarkEnd w:id="6"/>
    <w:p w14:paraId="7E53EA21" w14:textId="77777777" w:rsidR="00000000" w:rsidRDefault="00DB4BBA">
      <w:pPr>
        <w:pStyle w:val="Text"/>
      </w:pPr>
    </w:p>
    <w:p w14:paraId="7449EB7F" w14:textId="77777777" w:rsidR="00000000" w:rsidRDefault="00DB4BBA">
      <w:pPr>
        <w:pStyle w:val="Heading1"/>
      </w:pPr>
      <w:bookmarkStart w:id="18" w:name="_Toc118523878"/>
      <w:bookmarkEnd w:id="18"/>
    </w:p>
    <w:p w14:paraId="52DC5C8C" w14:textId="77777777" w:rsidR="00000000" w:rsidRDefault="00DB4BBA">
      <w:pPr>
        <w:pStyle w:val="Heading2"/>
      </w:pPr>
      <w:bookmarkStart w:id="19" w:name="_Toc118523879"/>
      <w:r>
        <w:t>Product description</w:t>
      </w:r>
      <w:bookmarkEnd w:id="19"/>
    </w:p>
    <w:p w14:paraId="6AD758F9" w14:textId="77777777" w:rsidR="00000000" w:rsidRDefault="00DB4BBA">
      <w:pPr>
        <w:pStyle w:val="Text"/>
        <w:rPr>
          <w:i/>
        </w:rPr>
      </w:pPr>
      <w:r>
        <w:rPr>
          <w:i/>
        </w:rPr>
        <w:t>This Chapter provides a brief description of the functio</w:t>
      </w:r>
      <w:r>
        <w:rPr>
          <w:i/>
        </w:rPr>
        <w:t>n of domestic irrigation controllers and summarises the key technical aspects that may result in unnecessary water usage.</w:t>
      </w:r>
    </w:p>
    <w:p w14:paraId="627D3ACC" w14:textId="77777777" w:rsidR="00000000" w:rsidRDefault="00DB4BBA">
      <w:pPr>
        <w:pStyle w:val="Text"/>
      </w:pPr>
      <w:r>
        <w:t xml:space="preserve">Domestic irrigation controllers are ‘logic devices which control water flow in domestic irrigation systems’, such as a lawn sprinkler </w:t>
      </w:r>
      <w:r>
        <w:t xml:space="preserve">or drip irrigation system </w:t>
      </w:r>
      <w:r>
        <w:fldChar w:fldCharType="begin"/>
      </w:r>
      <w:r>
        <w:instrText xml:space="preserve"> ADDIN EN.CITE &lt;EndNote&gt;&lt;Cite&gt;&lt;Author&gt;Irrigation Australia&lt;/Author&gt;&lt;Year&gt;2008&lt;/Year&gt;&lt;RecNum&gt;5&lt;/RecNum&gt;&lt;record&gt;&lt;rec-number&gt;5&lt;/rec-number&gt;&lt;foreign-keys&gt;&lt;key app="EN" db-id="50s0sw00tv5rvlessrsvpfd52f0zefprpafd"&gt;5&lt;/key&gt;&lt;/foreign-keys</w:instrText>
      </w:r>
      <w:r>
        <w:instrText>&gt;&lt;ref-type name="Report"&gt;27&lt;/ref-type&gt;&lt;contributors&gt;&lt;authors&gt;&lt;author&gt;Irrigation Australia,&lt;/author&gt;&lt;author&gt;Hydro-Plan Irrigation Consultants,&lt;/author&gt;&lt;/authors&gt;&lt;subsidiary-authors&gt;&lt;author&gt;Department of the Environment, Water, Heritage and the Arts&lt;/author&gt;</w:instrText>
      </w:r>
      <w:r>
        <w:instrText>&lt;/subsidiary-authors&gt;&lt;/contributors&gt;&lt;titles&gt;&lt;title&gt;Potential for Expansion of the WELS Scheme to include Domestic Irrigation Controllers &lt;/title&gt;&lt;/titles&gt;&lt;dates&gt;&lt;year&gt;2008&lt;/year&gt;&lt;/dates&gt;&lt;pub-location&gt;Parkside, South Australia&lt;/pub-location&gt;&lt;urls&gt;&lt;/urls&gt;&lt;/r</w:instrText>
      </w:r>
      <w:r>
        <w:instrText>ecord&gt;&lt;/Cite&gt;&lt;/EndNote&gt;</w:instrText>
      </w:r>
      <w:r>
        <w:fldChar w:fldCharType="separate"/>
      </w:r>
      <w:r>
        <w:t>(Irrigation Australia and Hydro-Plan Irrigation Consultants 2008)</w:t>
      </w:r>
      <w:r>
        <w:fldChar w:fldCharType="end"/>
      </w:r>
      <w:r>
        <w:t>. These devices can control water flow according to varying levels of sophistication. Some use a simple timer switch to trigger and end water flow at set points in t</w:t>
      </w:r>
      <w:r>
        <w:t>he day/week. Others can automatically adjust watering frequencies and duration on the basis of data collected by soil moisture sensors, rain sensors and weather data (downloaded from the internet). Domestic irrigation controllers also vary on their ‘abilit</w:t>
      </w:r>
      <w:r>
        <w:t xml:space="preserve">y to retain instructions and recover from energy failures ... according to whether the controller is powered by batteries only, mains only, or mains with battery backup’ </w:t>
      </w:r>
      <w:r>
        <w:fldChar w:fldCharType="begin"/>
      </w:r>
      <w:r>
        <w:instrText xml:space="preserve"> ADDIN EN.CITE &lt;EndNote&gt;&lt;Cite&gt;&lt;Author&gt;George Wilkenfeld and Associates&lt;/Author&gt;&lt;Year&gt;2</w:instrText>
      </w:r>
      <w:r>
        <w:instrText>005&lt;/Year&gt;&lt;RecNum&gt;1&lt;/RecNum&gt;&lt;record&gt;&lt;rec-number&gt;1&lt;/rec-number&gt;&lt;foreign-keys&gt;&lt;key app="EN" db-id="50s0sw00tv5rvlessrsvpfd52f0zefprpafd"&gt;1&lt;/key&gt;&lt;/foreign-keys&gt;&lt;ref-type name="Report"&gt;27&lt;/ref-type&gt;&lt;contributors&gt;&lt;authors&gt;&lt;author&gt;George Wilkenfeld and Associate</w:instrText>
      </w:r>
      <w:r>
        <w:instrText>s,&lt;/author&gt;&lt;/authors&gt;&lt;subsidiary-authors&gt;&lt;author&gt;Department of the Environment and Heritage&lt;/author&gt;&lt;/subsidiary-authors&gt;&lt;/contributors&gt;&lt;titles&gt;&lt;title&gt;Expanding the Water Efficiency Labelling and Standards (WELS) Scheme&lt;/title&gt;&lt;/titles&gt;&lt;dates&gt;&lt;year&gt;2005&lt;/y</w:instrText>
      </w:r>
      <w:r>
        <w:instrText>ear&gt;&lt;pub-dates&gt;&lt;date&gt;November&lt;/date&gt;&lt;/pub-dates&gt;&lt;/dates&gt;&lt;pub-location&gt;Sydney&lt;/pub-location&gt;&lt;urls&gt;&lt;/urls&gt;&lt;/record&gt;&lt;/Cite&gt;&lt;/EndNote&gt;</w:instrText>
      </w:r>
      <w:r>
        <w:fldChar w:fldCharType="separate"/>
      </w:r>
      <w:r>
        <w:t>(George Wilkenfeld and Associates 2005)</w:t>
      </w:r>
      <w:r>
        <w:fldChar w:fldCharType="end"/>
      </w:r>
      <w:r>
        <w:t xml:space="preserve">. </w:t>
      </w:r>
    </w:p>
    <w:p w14:paraId="79458523" w14:textId="77777777" w:rsidR="00000000" w:rsidRDefault="00DB4BBA">
      <w:pPr>
        <w:pStyle w:val="Text"/>
      </w:pPr>
      <w:r>
        <w:fldChar w:fldCharType="begin"/>
      </w:r>
      <w:r>
        <w:instrText xml:space="preserve"> REF _Ref110495695 \r \h </w:instrText>
      </w:r>
      <w:r>
        <w:fldChar w:fldCharType="separate"/>
      </w:r>
      <w:r>
        <w:t>Figure 2.1</w:t>
      </w:r>
      <w:r>
        <w:fldChar w:fldCharType="end"/>
      </w:r>
      <w:r>
        <w:t xml:space="preserve"> provides a summary of the types of domestic irrigation controllers currently available in </w:t>
      </w:r>
      <w:r>
        <w:t xml:space="preserve">Australia. </w:t>
      </w:r>
    </w:p>
    <w:p w14:paraId="7B119888" w14:textId="77777777" w:rsidR="00000000" w:rsidRDefault="00DB4BBA">
      <w:pPr>
        <w:pStyle w:val="Heading6"/>
        <w:numPr>
          <w:ilvl w:val="5"/>
          <w:numId w:val="16"/>
        </w:numPr>
        <w:ind w:left="-2835"/>
      </w:pPr>
      <w:bookmarkStart w:id="20" w:name="_Ref110495695"/>
    </w:p>
    <w:bookmarkEnd w:id="20"/>
    <w:p w14:paraId="6D158D51" w14:textId="77777777" w:rsidR="00000000" w:rsidRDefault="00DB4BBA">
      <w:pPr>
        <w:pStyle w:val="TableTitle"/>
        <w:ind w:left="-2835" w:right="56"/>
      </w:pPr>
      <w:r>
        <w:t xml:space="preserve">summary of domestic irrigation controller types </w:t>
      </w:r>
    </w:p>
    <w:tbl>
      <w:tblPr>
        <w:tblW w:w="10192" w:type="dxa"/>
        <w:tblInd w:w="-2822" w:type="dxa"/>
        <w:tblBorders>
          <w:bottom w:val="single" w:sz="4" w:space="0" w:color="auto"/>
        </w:tblBorders>
        <w:tblLayout w:type="fixed"/>
        <w:tblLook w:val="0000" w:firstRow="0" w:lastRow="0" w:firstColumn="0" w:lastColumn="0" w:noHBand="0" w:noVBand="0"/>
      </w:tblPr>
      <w:tblGrid>
        <w:gridCol w:w="3119"/>
        <w:gridCol w:w="7073"/>
      </w:tblGrid>
      <w:tr w:rsidR="00000000" w14:paraId="1495043C" w14:textId="77777777">
        <w:trPr>
          <w:trHeight w:val="255"/>
        </w:trPr>
        <w:tc>
          <w:tcPr>
            <w:tcW w:w="3119" w:type="dxa"/>
            <w:tcBorders>
              <w:bottom w:val="nil"/>
            </w:tcBorders>
            <w:shd w:val="clear" w:color="auto" w:fill="800000"/>
            <w:noWrap/>
            <w:tcMar>
              <w:top w:w="13" w:type="dxa"/>
              <w:left w:w="13" w:type="dxa"/>
              <w:bottom w:w="0" w:type="dxa"/>
              <w:right w:w="13" w:type="dxa"/>
            </w:tcMar>
            <w:vAlign w:val="center"/>
          </w:tcPr>
          <w:p w14:paraId="6EDB5CA0" w14:textId="77777777" w:rsidR="00000000" w:rsidRDefault="00DB4BBA">
            <w:pPr>
              <w:pStyle w:val="TableHeads"/>
              <w:spacing w:before="60" w:after="60"/>
              <w:ind w:left="57" w:right="0"/>
              <w:jc w:val="left"/>
            </w:pPr>
            <w:r>
              <w:t xml:space="preserve">Domestic controller group </w:t>
            </w:r>
          </w:p>
        </w:tc>
        <w:tc>
          <w:tcPr>
            <w:tcW w:w="7073" w:type="dxa"/>
            <w:tcBorders>
              <w:bottom w:val="nil"/>
            </w:tcBorders>
            <w:shd w:val="clear" w:color="auto" w:fill="800000"/>
            <w:noWrap/>
            <w:tcMar>
              <w:top w:w="13" w:type="dxa"/>
              <w:left w:w="13" w:type="dxa"/>
              <w:bottom w:w="0" w:type="dxa"/>
              <w:right w:w="13" w:type="dxa"/>
            </w:tcMar>
            <w:vAlign w:val="center"/>
          </w:tcPr>
          <w:p w14:paraId="707D5E3C" w14:textId="77777777" w:rsidR="00000000" w:rsidRDefault="00DB4BBA">
            <w:pPr>
              <w:pStyle w:val="TableHeads"/>
              <w:spacing w:before="60" w:after="60"/>
              <w:ind w:left="57" w:right="0"/>
              <w:jc w:val="left"/>
            </w:pPr>
            <w:r>
              <w:t>Brief Description</w:t>
            </w:r>
          </w:p>
        </w:tc>
      </w:tr>
      <w:tr w:rsidR="00000000" w14:paraId="65188384" w14:textId="77777777">
        <w:trPr>
          <w:trHeight w:val="255"/>
        </w:trPr>
        <w:tc>
          <w:tcPr>
            <w:tcW w:w="3119" w:type="dxa"/>
            <w:tcBorders>
              <w:top w:val="nil"/>
              <w:bottom w:val="nil"/>
            </w:tcBorders>
            <w:shd w:val="clear" w:color="auto" w:fill="E6E6E6"/>
            <w:noWrap/>
            <w:tcMar>
              <w:top w:w="13" w:type="dxa"/>
              <w:left w:w="13" w:type="dxa"/>
              <w:bottom w:w="0" w:type="dxa"/>
              <w:right w:w="13" w:type="dxa"/>
            </w:tcMar>
            <w:vAlign w:val="center"/>
          </w:tcPr>
          <w:p w14:paraId="33D01C95" w14:textId="77777777" w:rsidR="00000000" w:rsidRDefault="00DB4BBA">
            <w:pPr>
              <w:pStyle w:val="TableText"/>
              <w:ind w:left="57" w:right="0"/>
            </w:pPr>
            <w:r>
              <w:t xml:space="preserve">Tap timers – mechanical </w:t>
            </w:r>
          </w:p>
        </w:tc>
        <w:tc>
          <w:tcPr>
            <w:tcW w:w="7073" w:type="dxa"/>
            <w:tcBorders>
              <w:top w:val="nil"/>
              <w:bottom w:val="nil"/>
            </w:tcBorders>
            <w:shd w:val="clear" w:color="auto" w:fill="E6E6E6"/>
            <w:noWrap/>
            <w:tcMar>
              <w:top w:w="13" w:type="dxa"/>
              <w:left w:w="13" w:type="dxa"/>
              <w:bottom w:w="0" w:type="dxa"/>
              <w:right w:w="13" w:type="dxa"/>
            </w:tcMar>
            <w:vAlign w:val="center"/>
          </w:tcPr>
          <w:p w14:paraId="51E54F1A" w14:textId="77777777" w:rsidR="00000000" w:rsidRDefault="00DB4BBA">
            <w:pPr>
              <w:pStyle w:val="TableText"/>
              <w:ind w:left="57" w:right="0"/>
            </w:pPr>
            <w:r>
              <w:t xml:space="preserve">Can be fitted to a garden tap to automatically turn off the flow on completion of the manually initiated irrigation event. </w:t>
            </w:r>
          </w:p>
        </w:tc>
      </w:tr>
      <w:tr w:rsidR="00000000" w14:paraId="7DAB8DBC" w14:textId="77777777">
        <w:trPr>
          <w:trHeight w:val="255"/>
        </w:trPr>
        <w:tc>
          <w:tcPr>
            <w:tcW w:w="3119" w:type="dxa"/>
            <w:tcBorders>
              <w:bottom w:val="nil"/>
            </w:tcBorders>
            <w:shd w:val="clear" w:color="auto" w:fill="CCCCCC"/>
            <w:noWrap/>
            <w:tcMar>
              <w:top w:w="13" w:type="dxa"/>
              <w:left w:w="13" w:type="dxa"/>
              <w:bottom w:w="0" w:type="dxa"/>
              <w:right w:w="13" w:type="dxa"/>
            </w:tcMar>
            <w:vAlign w:val="center"/>
          </w:tcPr>
          <w:p w14:paraId="787A4E71" w14:textId="77777777" w:rsidR="00000000" w:rsidRDefault="00DB4BBA">
            <w:pPr>
              <w:pStyle w:val="TableText"/>
              <w:ind w:left="57" w:right="0"/>
            </w:pPr>
            <w:r>
              <w:t xml:space="preserve">Tap timers – battery operated </w:t>
            </w:r>
          </w:p>
        </w:tc>
        <w:tc>
          <w:tcPr>
            <w:tcW w:w="7073" w:type="dxa"/>
            <w:tcBorders>
              <w:bottom w:val="nil"/>
            </w:tcBorders>
            <w:shd w:val="clear" w:color="auto" w:fill="CCCCCC"/>
            <w:noWrap/>
            <w:tcMar>
              <w:top w:w="13" w:type="dxa"/>
              <w:left w:w="13" w:type="dxa"/>
              <w:bottom w:w="0" w:type="dxa"/>
              <w:right w:w="13" w:type="dxa"/>
            </w:tcMar>
            <w:vAlign w:val="center"/>
          </w:tcPr>
          <w:p w14:paraId="0720500C" w14:textId="77777777" w:rsidR="00000000" w:rsidRDefault="00DB4BBA">
            <w:pPr>
              <w:pStyle w:val="TableText"/>
              <w:ind w:left="57" w:right="0"/>
            </w:pPr>
            <w:r>
              <w:t xml:space="preserve">Can be programmed to automatically start as well as stop. </w:t>
            </w:r>
          </w:p>
        </w:tc>
      </w:tr>
      <w:tr w:rsidR="00000000" w14:paraId="0BF534D9" w14:textId="77777777">
        <w:trPr>
          <w:trHeight w:val="255"/>
        </w:trPr>
        <w:tc>
          <w:tcPr>
            <w:tcW w:w="3119" w:type="dxa"/>
            <w:tcBorders>
              <w:top w:val="nil"/>
              <w:bottom w:val="nil"/>
            </w:tcBorders>
            <w:shd w:val="clear" w:color="auto" w:fill="E6E6E6"/>
            <w:noWrap/>
            <w:tcMar>
              <w:top w:w="13" w:type="dxa"/>
              <w:left w:w="13" w:type="dxa"/>
              <w:bottom w:w="0" w:type="dxa"/>
              <w:right w:w="13" w:type="dxa"/>
            </w:tcMar>
            <w:vAlign w:val="center"/>
          </w:tcPr>
          <w:p w14:paraId="39695A09" w14:textId="77777777" w:rsidR="00000000" w:rsidRDefault="00DB4BBA">
            <w:pPr>
              <w:pStyle w:val="TableText"/>
              <w:ind w:left="57" w:right="0"/>
            </w:pPr>
            <w:r>
              <w:t xml:space="preserve">Powered, stand alone controllers </w:t>
            </w:r>
          </w:p>
        </w:tc>
        <w:tc>
          <w:tcPr>
            <w:tcW w:w="7073" w:type="dxa"/>
            <w:tcBorders>
              <w:top w:val="nil"/>
              <w:bottom w:val="nil"/>
            </w:tcBorders>
            <w:shd w:val="clear" w:color="auto" w:fill="E6E6E6"/>
            <w:noWrap/>
            <w:tcMar>
              <w:top w:w="13" w:type="dxa"/>
              <w:left w:w="13" w:type="dxa"/>
              <w:bottom w:w="0" w:type="dxa"/>
              <w:right w:w="13" w:type="dxa"/>
            </w:tcMar>
            <w:vAlign w:val="center"/>
          </w:tcPr>
          <w:p w14:paraId="19AFE51C" w14:textId="77777777" w:rsidR="00000000" w:rsidRDefault="00DB4BBA">
            <w:pPr>
              <w:pStyle w:val="TableText"/>
              <w:ind w:left="57" w:right="0"/>
            </w:pPr>
            <w:r>
              <w:t xml:space="preserve">Controllers can be mounted more conveniently, and valves can be concealed from view and powered reliably. </w:t>
            </w:r>
          </w:p>
        </w:tc>
      </w:tr>
      <w:tr w:rsidR="00000000" w14:paraId="2F9C9E8F" w14:textId="77777777">
        <w:trPr>
          <w:trHeight w:val="255"/>
        </w:trPr>
        <w:tc>
          <w:tcPr>
            <w:tcW w:w="3119" w:type="dxa"/>
            <w:tcBorders>
              <w:bottom w:val="nil"/>
            </w:tcBorders>
            <w:shd w:val="clear" w:color="auto" w:fill="CCCCCC"/>
            <w:noWrap/>
            <w:tcMar>
              <w:top w:w="13" w:type="dxa"/>
              <w:left w:w="13" w:type="dxa"/>
              <w:bottom w:w="0" w:type="dxa"/>
              <w:right w:w="13" w:type="dxa"/>
            </w:tcMar>
            <w:vAlign w:val="center"/>
          </w:tcPr>
          <w:p w14:paraId="58F91BDB" w14:textId="77777777" w:rsidR="00000000" w:rsidRDefault="00DB4BBA">
            <w:pPr>
              <w:pStyle w:val="TableText"/>
              <w:ind w:left="57" w:right="0"/>
            </w:pPr>
            <w:r>
              <w:t xml:space="preserve">Multi-purpose, integrated </w:t>
            </w:r>
          </w:p>
        </w:tc>
        <w:tc>
          <w:tcPr>
            <w:tcW w:w="7073" w:type="dxa"/>
            <w:tcBorders>
              <w:bottom w:val="nil"/>
            </w:tcBorders>
            <w:shd w:val="clear" w:color="auto" w:fill="CCCCCC"/>
            <w:noWrap/>
            <w:tcMar>
              <w:top w:w="13" w:type="dxa"/>
              <w:left w:w="13" w:type="dxa"/>
              <w:bottom w:w="0" w:type="dxa"/>
              <w:right w:w="13" w:type="dxa"/>
            </w:tcMar>
            <w:vAlign w:val="center"/>
          </w:tcPr>
          <w:p w14:paraId="67AE9525" w14:textId="77777777" w:rsidR="00000000" w:rsidRDefault="00DB4BBA">
            <w:pPr>
              <w:pStyle w:val="TableText"/>
              <w:ind w:left="57" w:right="0"/>
            </w:pPr>
            <w:r>
              <w:t xml:space="preserve">Controllers can control lighting and fountains, be integrated with security and a building management system, or be operated from a personal computer and the internet. </w:t>
            </w:r>
          </w:p>
        </w:tc>
      </w:tr>
      <w:tr w:rsidR="00000000" w14:paraId="123DD35A" w14:textId="77777777">
        <w:trPr>
          <w:trHeight w:val="255"/>
        </w:trPr>
        <w:tc>
          <w:tcPr>
            <w:tcW w:w="3119" w:type="dxa"/>
            <w:tcBorders>
              <w:top w:val="nil"/>
              <w:bottom w:val="nil"/>
            </w:tcBorders>
            <w:shd w:val="clear" w:color="auto" w:fill="E6E6E6"/>
            <w:noWrap/>
            <w:tcMar>
              <w:top w:w="13" w:type="dxa"/>
              <w:left w:w="13" w:type="dxa"/>
              <w:bottom w:w="0" w:type="dxa"/>
              <w:right w:w="13" w:type="dxa"/>
            </w:tcMar>
            <w:vAlign w:val="center"/>
          </w:tcPr>
          <w:p w14:paraId="267B9FEE" w14:textId="77777777" w:rsidR="00000000" w:rsidRDefault="00DB4BBA">
            <w:pPr>
              <w:pStyle w:val="TableText"/>
              <w:ind w:left="57" w:right="0"/>
            </w:pPr>
            <w:r>
              <w:t xml:space="preserve">Multiple stations </w:t>
            </w:r>
          </w:p>
        </w:tc>
        <w:tc>
          <w:tcPr>
            <w:tcW w:w="7073" w:type="dxa"/>
            <w:tcBorders>
              <w:top w:val="nil"/>
              <w:bottom w:val="nil"/>
            </w:tcBorders>
            <w:shd w:val="clear" w:color="auto" w:fill="E6E6E6"/>
            <w:noWrap/>
            <w:tcMar>
              <w:top w:w="13" w:type="dxa"/>
              <w:left w:w="13" w:type="dxa"/>
              <w:bottom w:w="0" w:type="dxa"/>
              <w:right w:w="13" w:type="dxa"/>
            </w:tcMar>
            <w:vAlign w:val="center"/>
          </w:tcPr>
          <w:p w14:paraId="6FB327FA" w14:textId="77777777" w:rsidR="00000000" w:rsidRDefault="00DB4BBA">
            <w:pPr>
              <w:pStyle w:val="TableText"/>
              <w:ind w:left="57" w:right="0"/>
            </w:pPr>
            <w:r>
              <w:t xml:space="preserve">Ability to irrigate different areas in a sequence, each area for a different duration. For example: </w:t>
            </w:r>
          </w:p>
          <w:p w14:paraId="47119CB4" w14:textId="77777777" w:rsidR="00000000" w:rsidRDefault="00DB4BBA">
            <w:pPr>
              <w:pStyle w:val="TableTextDotPoint"/>
            </w:pPr>
            <w:r>
              <w:t>drippers for 3 hours then sprinklers for 20 minutes; and</w:t>
            </w:r>
          </w:p>
          <w:p w14:paraId="09B57B0A" w14:textId="77777777" w:rsidR="00000000" w:rsidRDefault="00DB4BBA">
            <w:pPr>
              <w:pStyle w:val="TableTextDotPoint"/>
            </w:pPr>
            <w:r>
              <w:t xml:space="preserve">back lawn then front lawn. </w:t>
            </w:r>
          </w:p>
        </w:tc>
      </w:tr>
      <w:tr w:rsidR="00000000" w14:paraId="4D28FE8D" w14:textId="77777777">
        <w:trPr>
          <w:trHeight w:val="255"/>
        </w:trPr>
        <w:tc>
          <w:tcPr>
            <w:tcW w:w="3119" w:type="dxa"/>
            <w:tcBorders>
              <w:bottom w:val="nil"/>
            </w:tcBorders>
            <w:shd w:val="clear" w:color="auto" w:fill="CCCCCC"/>
            <w:noWrap/>
            <w:tcMar>
              <w:top w:w="13" w:type="dxa"/>
              <w:left w:w="13" w:type="dxa"/>
              <w:bottom w:w="0" w:type="dxa"/>
              <w:right w:w="13" w:type="dxa"/>
            </w:tcMar>
            <w:vAlign w:val="center"/>
          </w:tcPr>
          <w:p w14:paraId="68E1D752" w14:textId="77777777" w:rsidR="00000000" w:rsidRDefault="00DB4BBA">
            <w:pPr>
              <w:pStyle w:val="TableText"/>
              <w:ind w:left="57" w:right="0"/>
            </w:pPr>
            <w:r>
              <w:t xml:space="preserve">Multiple programs </w:t>
            </w:r>
          </w:p>
        </w:tc>
        <w:tc>
          <w:tcPr>
            <w:tcW w:w="7073" w:type="dxa"/>
            <w:tcBorders>
              <w:bottom w:val="nil"/>
            </w:tcBorders>
            <w:shd w:val="clear" w:color="auto" w:fill="CCCCCC"/>
            <w:noWrap/>
            <w:tcMar>
              <w:top w:w="13" w:type="dxa"/>
              <w:left w:w="13" w:type="dxa"/>
              <w:bottom w:w="0" w:type="dxa"/>
              <w:right w:w="13" w:type="dxa"/>
            </w:tcMar>
            <w:vAlign w:val="center"/>
          </w:tcPr>
          <w:p w14:paraId="3B0E4466" w14:textId="77777777" w:rsidR="00000000" w:rsidRDefault="00DB4BBA">
            <w:pPr>
              <w:pStyle w:val="TableText"/>
              <w:ind w:left="57" w:right="0"/>
            </w:pPr>
            <w:r>
              <w:t xml:space="preserve">Ability to </w:t>
            </w:r>
            <w:r>
              <w:t xml:space="preserve">irrigate different plants/soils/microclimates with different frequency. For example: </w:t>
            </w:r>
          </w:p>
          <w:p w14:paraId="2D62CE34" w14:textId="77777777" w:rsidR="00000000" w:rsidRDefault="00DB4BBA">
            <w:pPr>
              <w:pStyle w:val="TableTextDotPoint"/>
            </w:pPr>
            <w:r>
              <w:t xml:space="preserve">flowers every day versus lawn twice per week; </w:t>
            </w:r>
          </w:p>
          <w:p w14:paraId="428D6FDD" w14:textId="77777777" w:rsidR="00000000" w:rsidRDefault="00DB4BBA">
            <w:pPr>
              <w:pStyle w:val="TableTextDotPoint"/>
            </w:pPr>
            <w:r>
              <w:t>sandy soils in one cycle of 15 minutes versus clay soils in three cycles of 5 minutes every hour; and</w:t>
            </w:r>
          </w:p>
          <w:p w14:paraId="47095C5C" w14:textId="77777777" w:rsidR="00000000" w:rsidRDefault="00DB4BBA">
            <w:pPr>
              <w:pStyle w:val="TableTextDotPoint"/>
            </w:pPr>
            <w:r>
              <w:t xml:space="preserve">shaded lawn once per week versus exposed lawn twice per week. </w:t>
            </w:r>
          </w:p>
        </w:tc>
      </w:tr>
      <w:tr w:rsidR="00000000" w14:paraId="44A602B1" w14:textId="77777777">
        <w:trPr>
          <w:trHeight w:val="255"/>
        </w:trPr>
        <w:tc>
          <w:tcPr>
            <w:tcW w:w="3119" w:type="dxa"/>
            <w:tcBorders>
              <w:top w:val="nil"/>
              <w:bottom w:val="single" w:sz="4" w:space="0" w:color="auto"/>
            </w:tcBorders>
            <w:shd w:val="clear" w:color="auto" w:fill="E6E6E6"/>
            <w:noWrap/>
            <w:tcMar>
              <w:top w:w="13" w:type="dxa"/>
              <w:left w:w="13" w:type="dxa"/>
              <w:bottom w:w="0" w:type="dxa"/>
              <w:right w:w="13" w:type="dxa"/>
            </w:tcMar>
            <w:vAlign w:val="center"/>
          </w:tcPr>
          <w:p w14:paraId="38BA4BDA" w14:textId="77777777" w:rsidR="00000000" w:rsidRDefault="00DB4BBA">
            <w:pPr>
              <w:pStyle w:val="TableText"/>
              <w:ind w:left="57" w:right="0"/>
            </w:pPr>
            <w:r>
              <w:t xml:space="preserve">Sensor inputs </w:t>
            </w:r>
          </w:p>
        </w:tc>
        <w:tc>
          <w:tcPr>
            <w:tcW w:w="7073" w:type="dxa"/>
            <w:tcBorders>
              <w:top w:val="nil"/>
              <w:bottom w:val="single" w:sz="4" w:space="0" w:color="auto"/>
            </w:tcBorders>
            <w:shd w:val="clear" w:color="auto" w:fill="E6E6E6"/>
            <w:noWrap/>
            <w:tcMar>
              <w:top w:w="13" w:type="dxa"/>
              <w:left w:w="13" w:type="dxa"/>
              <w:bottom w:w="0" w:type="dxa"/>
              <w:right w:w="13" w:type="dxa"/>
            </w:tcMar>
            <w:vAlign w:val="center"/>
          </w:tcPr>
          <w:p w14:paraId="5DFCC1DC" w14:textId="77777777" w:rsidR="00000000" w:rsidRDefault="00DB4BBA">
            <w:pPr>
              <w:pStyle w:val="TableText"/>
              <w:ind w:left="57" w:right="0"/>
            </w:pPr>
            <w:r>
              <w:t xml:space="preserve">Ability to react intelligently when the status of one or more external inputs (eg rain, soil, flow sensors) indicate that it is appropriate to start/stop/override/reset </w:t>
            </w:r>
            <w:r>
              <w:t xml:space="preserve">according to pre-determined schedules. </w:t>
            </w:r>
          </w:p>
        </w:tc>
      </w:tr>
    </w:tbl>
    <w:p w14:paraId="2FC21E1D" w14:textId="77777777" w:rsidR="00000000" w:rsidRDefault="00DB4BBA">
      <w:pPr>
        <w:pStyle w:val="TableSource"/>
        <w:ind w:left="-2835"/>
      </w:pPr>
      <w:r>
        <w:t xml:space="preserve">Source: </w:t>
      </w:r>
      <w:r>
        <w:fldChar w:fldCharType="begin"/>
      </w:r>
      <w:r>
        <w:instrText xml:space="preserve"> ADDIN EN.CITE &lt;EndNote&gt;&lt;Cite&gt;&lt;Author&gt;Irrigation Australia&lt;/Author&gt;&lt;Year&gt;2008&lt;/Year&gt;&lt;RecNum&gt;5&lt;/RecNum&gt;&lt;record&gt;&lt;rec-number&gt;5&lt;/rec-number&gt;&lt;foreign-keys&gt;&lt;key app="EN" db-id="50s0sw00tv5rvlessrsvpfd52f0zefprp</w:instrText>
      </w:r>
      <w:r>
        <w:instrText>afd"&gt;5&lt;/key&gt;&lt;/foreign-keys&gt;&lt;ref-type name="Report"&gt;27&lt;/ref-type&gt;&lt;contributors&gt;&lt;authors&gt;&lt;author&gt;Irrigation Australia,&lt;/author&gt;&lt;author&gt;Hydro-Plan Irrigation Consultants,&lt;/author&gt;&lt;/authors&gt;&lt;subsidiary-authors&gt;&lt;author&gt;Department of the Environment, Water, Heri</w:instrText>
      </w:r>
      <w:r>
        <w:instrText>tage and the Arts&lt;/author&gt;&lt;/subsidiary-authors&gt;&lt;/contributors&gt;&lt;titles&gt;&lt;title&gt;Potential for Expansion of the WELS Scheme to include Domestic Irrigation Controllers &lt;/title&gt;&lt;/titles&gt;&lt;dates&gt;&lt;year&gt;2008&lt;/year&gt;&lt;/dates&gt;&lt;pub-location&gt;Parkside, South Australia&lt;/pub</w:instrText>
      </w:r>
      <w:r>
        <w:instrText>-location&gt;&lt;urls&gt;&lt;/urls&gt;&lt;/record&gt;&lt;/Cite&gt;&lt;/EndNote&gt;</w:instrText>
      </w:r>
      <w:r>
        <w:fldChar w:fldCharType="separate"/>
      </w:r>
      <w:r>
        <w:t>(Irrigation Australia and Hydro-Plan Irrigation Consultants 2008)</w:t>
      </w:r>
      <w:r>
        <w:fldChar w:fldCharType="end"/>
      </w:r>
    </w:p>
    <w:p w14:paraId="450A01E5" w14:textId="77777777" w:rsidR="00000000" w:rsidRDefault="00DB4BBA">
      <w:pPr>
        <w:pStyle w:val="Text"/>
      </w:pPr>
      <w:r>
        <w:lastRenderedPageBreak/>
        <w:t>Domestic irrigation controllers can form part of a domestic irrigation system, though they are not essential for primary function of the s</w:t>
      </w:r>
      <w:r>
        <w:t>ystem. At its most basic, a domestic irrigation system will comprise of piping and emitters (such as sprinklers or drip emitters). More complex domestic irrigation systems can also include an irrigation controller, control valves, air release valves, flush</w:t>
      </w:r>
      <w:r>
        <w:t xml:space="preserve">ing valves, rain sensors and soil moisture sensors. </w:t>
      </w:r>
      <w:r>
        <w:fldChar w:fldCharType="begin"/>
      </w:r>
      <w:r>
        <w:instrText xml:space="preserve"> REF _Ref110653778 \r \h </w:instrText>
      </w:r>
      <w:r>
        <w:fldChar w:fldCharType="separate"/>
      </w:r>
      <w:r>
        <w:t>Figure 2.2</w:t>
      </w:r>
      <w:r>
        <w:fldChar w:fldCharType="end"/>
      </w:r>
      <w:r>
        <w:t xml:space="preserve"> provides an example of a domestic irrigation system with an irrigation controller and a soil moistur</w:t>
      </w:r>
      <w:r>
        <w:t xml:space="preserve">e sensor. </w:t>
      </w:r>
    </w:p>
    <w:p w14:paraId="2BF79359" w14:textId="77777777" w:rsidR="00000000" w:rsidRDefault="00DB4BBA">
      <w:pPr>
        <w:pStyle w:val="Heading6"/>
      </w:pPr>
      <w:bookmarkStart w:id="21" w:name="_Ref110653778"/>
    </w:p>
    <w:bookmarkEnd w:id="21"/>
    <w:p w14:paraId="53DC790D" w14:textId="77777777" w:rsidR="00000000" w:rsidRDefault="00DB4BBA">
      <w:pPr>
        <w:pStyle w:val="TableTitle"/>
      </w:pPr>
      <w:r>
        <w:t xml:space="preserve">example of a domestic irrigation system </w:t>
      </w:r>
    </w:p>
    <w:p w14:paraId="4C1CB8A5" w14:textId="12B1596C" w:rsidR="00000000" w:rsidRDefault="00DB4BBA">
      <w:pPr>
        <w:pStyle w:val="TableText"/>
        <w:jc w:val="center"/>
      </w:pPr>
      <w:r>
        <w:rPr>
          <w:noProof/>
          <w:lang w:eastAsia="en-AU"/>
        </w:rPr>
        <w:drawing>
          <wp:inline distT="0" distB="0" distL="0" distR="0" wp14:anchorId="2D0610A4" wp14:editId="10186397">
            <wp:extent cx="4686300" cy="3876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6300" cy="3876675"/>
                    </a:xfrm>
                    <a:prstGeom prst="rect">
                      <a:avLst/>
                    </a:prstGeom>
                    <a:noFill/>
                    <a:ln>
                      <a:noFill/>
                    </a:ln>
                  </pic:spPr>
                </pic:pic>
              </a:graphicData>
            </a:graphic>
          </wp:inline>
        </w:drawing>
      </w:r>
    </w:p>
    <w:p w14:paraId="04E47261" w14:textId="77777777" w:rsidR="00000000" w:rsidRDefault="00DB4BBA">
      <w:pPr>
        <w:pStyle w:val="TableSource"/>
      </w:pPr>
      <w:r>
        <w:t xml:space="preserve">Source: </w:t>
      </w:r>
      <w:r>
        <w:fldChar w:fldCharType="begin"/>
      </w:r>
      <w:r>
        <w:instrText xml:space="preserve"> ADDIN EN.CITE &lt;EndNote&gt;&lt;Cite&gt;&lt;Author&gt;Irrigation Australia&lt;/Author&gt;&lt;Year&gt;2008&lt;/Year&gt;&lt;RecNu</w:instrText>
      </w:r>
      <w:r>
        <w:instrText>m&gt;5&lt;/RecNum&gt;&lt;Prefix&gt;Adapted from: &lt;/Prefix&gt;&lt;record&gt;&lt;rec-number&gt;5&lt;/rec-number&gt;&lt;foreign-keys&gt;&lt;key app="EN" db-id="50s0sw00tv5rvlessrsvpfd52f0zefprpafd"&gt;5&lt;/key&gt;&lt;/foreign-keys&gt;&lt;ref-type name="Report"&gt;27&lt;/ref-type&gt;&lt;contributors&gt;&lt;authors&gt;&lt;author&gt;Irrigation Austr</w:instrText>
      </w:r>
      <w:r>
        <w:instrText>alia,&lt;/author&gt;&lt;author&gt;Hydro-Plan Irrigation Consultants,&lt;/author&gt;&lt;/authors&gt;&lt;subsidiary-authors&gt;&lt;author&gt;Department of the Environment, Water, Heritage and the Arts&lt;/author&gt;&lt;/subsidiary-authors&gt;&lt;/contributors&gt;&lt;titles&gt;&lt;title&gt;Potential for Expansion of the WEL</w:instrText>
      </w:r>
      <w:r>
        <w:instrText>S Scheme to include Domestic Irrigation Controllers &lt;/title&gt;&lt;/titles&gt;&lt;dates&gt;&lt;year&gt;2008&lt;/year&gt;&lt;/dates&gt;&lt;pub-location&gt;Parkside, South Australia&lt;/pub-location&gt;&lt;urls&gt;&lt;/urls&gt;&lt;/record&gt;&lt;/Cite&gt;&lt;/EndNote&gt;</w:instrText>
      </w:r>
      <w:r>
        <w:fldChar w:fldCharType="separate"/>
      </w:r>
      <w:r>
        <w:t xml:space="preserve">(Adapted from: Irrigation Australia and Hydro-Plan Irrigation </w:t>
      </w:r>
      <w:r>
        <w:t>Consultants 2008)</w:t>
      </w:r>
      <w:r>
        <w:fldChar w:fldCharType="end"/>
      </w:r>
    </w:p>
    <w:p w14:paraId="4B049DF2" w14:textId="77777777" w:rsidR="00000000" w:rsidRDefault="00DB4BBA">
      <w:pPr>
        <w:pStyle w:val="Heading3"/>
        <w:numPr>
          <w:ilvl w:val="2"/>
          <w:numId w:val="11"/>
        </w:numPr>
      </w:pPr>
      <w:bookmarkStart w:id="22" w:name="_Ref109449754"/>
      <w:bookmarkStart w:id="23" w:name="_Toc118523880"/>
      <w:r>
        <w:t>Water wastage issues</w:t>
      </w:r>
      <w:bookmarkEnd w:id="22"/>
      <w:bookmarkEnd w:id="23"/>
    </w:p>
    <w:p w14:paraId="0B2C3B49" w14:textId="77777777" w:rsidR="00000000" w:rsidRDefault="00DB4BBA">
      <w:pPr>
        <w:pStyle w:val="Text"/>
      </w:pPr>
      <w:r>
        <w:t>There are two water wastage issues associated with domestic irrigation controllers. The first of these relates to use failure. Specifically, water that is wa</w:t>
      </w:r>
      <w:r>
        <w:t xml:space="preserve">sted due to user error in installing or programming a domestic irrigation controller. One of the most common types of user error in this regard is turning the water outlet on full after connecting it to a domestic irrigation controller. The resulting high </w:t>
      </w:r>
      <w:r>
        <w:t xml:space="preserve">water pressure can, in some cases, force the controller to dislodge. If this dislodgement is not detected in a timely fashion, significant water wastage can occur. </w:t>
      </w:r>
    </w:p>
    <w:p w14:paraId="3AEB285A" w14:textId="77777777" w:rsidR="00000000" w:rsidRDefault="00DB4BBA">
      <w:pPr>
        <w:pStyle w:val="Text"/>
      </w:pPr>
      <w:r>
        <w:t>There is little quantitative or qualitative information about the extent of water wastage a</w:t>
      </w:r>
      <w:r>
        <w:t xml:space="preserve">ssociated with user error in installing or programming a domestic irrigation controller. </w:t>
      </w:r>
    </w:p>
    <w:p w14:paraId="6A77CD73" w14:textId="77777777" w:rsidR="00000000" w:rsidRDefault="00DB4BBA">
      <w:pPr>
        <w:pStyle w:val="Text"/>
      </w:pPr>
      <w:r>
        <w:lastRenderedPageBreak/>
        <w:t>The second water wastage issue relates to irrigation efficiency. That is, the ability of a domestic irrigation system to deliver ‘enough’ water to the root systems of</w:t>
      </w:r>
      <w:r>
        <w:t xml:space="preserve"> targeted plants to ensure the continued health of those plants. ‘Enough’, in this context, is dependent on existing soil moisture and the hydration needs of the targeted plants.  </w:t>
      </w:r>
    </w:p>
    <w:p w14:paraId="11119CEE" w14:textId="77777777" w:rsidR="00000000" w:rsidRDefault="00DB4BBA">
      <w:pPr>
        <w:pStyle w:val="Text"/>
      </w:pPr>
      <w:r>
        <w:t>The efficiency of a domestic irrigation system can be ‘impacted by many fac</w:t>
      </w:r>
      <w:r>
        <w:t xml:space="preserve">tors including off-targeting, run-off, evaporation, deep percolation and leakage’ – all of which can reduce the volume of water delivered to the root systems of the targeted plants </w:t>
      </w:r>
      <w:r>
        <w:fldChar w:fldCharType="begin"/>
      </w:r>
      <w:r>
        <w:instrText xml:space="preserve"> ADDIN EN.CITE &lt;EndNote&gt;&lt;Cite&gt;&lt;Author&gt;Irrigation Australia&lt;/Author&gt;&lt;Year&gt;20</w:instrText>
      </w:r>
      <w:r>
        <w:instrText>08&lt;/Year&gt;&lt;RecNum&gt;5&lt;/RecNum&gt;&lt;record&gt;&lt;rec-number&gt;5&lt;/rec-number&gt;&lt;foreign-keys&gt;&lt;key app="EN" db-id="50s0sw00tv5rvlessrsvpfd52f0zefprpafd"&gt;5&lt;/key&gt;&lt;/foreign-keys&gt;&lt;ref-type name="Report"&gt;27&lt;/ref-type&gt;&lt;contributors&gt;&lt;authors&gt;&lt;author&gt;Irrigation Australia,&lt;/author&gt;&lt;a</w:instrText>
      </w:r>
      <w:r>
        <w:instrText>uthor&gt;Hydro-Plan Irrigation Consultants,&lt;/author&gt;&lt;/authors&gt;&lt;subsidiary-authors&gt;&lt;author&gt;Department of the Environment, Water, Heritage and the Arts&lt;/author&gt;&lt;/subsidiary-authors&gt;&lt;/contributors&gt;&lt;titles&gt;&lt;title&gt;Potential for Expansion of the WELS Scheme to incl</w:instrText>
      </w:r>
      <w:r>
        <w:instrText>ude Domestic Irrigation Controllers &lt;/title&gt;&lt;/titles&gt;&lt;dates&gt;&lt;year&gt;2008&lt;/year&gt;&lt;/dates&gt;&lt;pub-location&gt;Parkside, South Australia&lt;/pub-location&gt;&lt;urls&gt;&lt;/urls&gt;&lt;/record&gt;&lt;/Cite&gt;&lt;/EndNote&gt;</w:instrText>
      </w:r>
      <w:r>
        <w:fldChar w:fldCharType="separate"/>
      </w:r>
      <w:r>
        <w:t>(Irrigation Australia and Hydro-Plan Irrigation Consultants 2008)</w:t>
      </w:r>
      <w:r>
        <w:fldChar w:fldCharType="end"/>
      </w:r>
      <w:r>
        <w:t>. A domest</w:t>
      </w:r>
      <w:r>
        <w:t xml:space="preserve">ic irrigation controller can affect the irrigation efficiency if it allows too much or too little water into the irrigation system, which, in turn, delivers too much or too little water to the targeted plants.  </w:t>
      </w:r>
    </w:p>
    <w:p w14:paraId="6BBE1C5E" w14:textId="77777777" w:rsidR="00000000" w:rsidRDefault="00DB4BBA">
      <w:pPr>
        <w:pStyle w:val="Text"/>
      </w:pPr>
      <w:r>
        <w:t xml:space="preserve">Stakeholders noted that the user is the key </w:t>
      </w:r>
      <w:r>
        <w:t>factor in determining whether a domestic irrigation controller allows too much or too little water into an irrigation system (e.g. if the user programs the controller incorrectly, or forgets to adjust watering schedules to take into account seasonal differ</w:t>
      </w:r>
      <w:r>
        <w:t xml:space="preserve">ences). </w:t>
      </w:r>
    </w:p>
    <w:p w14:paraId="77532E0B" w14:textId="77777777" w:rsidR="00000000" w:rsidRDefault="00DB4BBA">
      <w:pPr>
        <w:pStyle w:val="Text"/>
      </w:pPr>
      <w:r>
        <w:t xml:space="preserve">Technical aspects of a domestic irrigation controller that can influence its irrigation efficiency include: </w:t>
      </w:r>
    </w:p>
    <w:p w14:paraId="4D1A4B6A" w14:textId="77777777" w:rsidR="00000000" w:rsidRDefault="00DB4BBA">
      <w:pPr>
        <w:pStyle w:val="TextDotPoint"/>
      </w:pPr>
      <w:r>
        <w:t xml:space="preserve">the ability of the controller ‘to receive and act on information about soil and weather conditions’ </w:t>
      </w:r>
      <w:r>
        <w:fldChar w:fldCharType="begin"/>
      </w:r>
      <w:r>
        <w:instrText xml:space="preserve"> ADDIN EN.CITE &lt;EndNote&gt;&lt;Cite&gt;&lt;Author&gt;George Wilkenfeld and Associates&lt;/Author&gt;&lt;Year&gt;2005&lt;/Year&gt;&lt;RecNum&gt;1&lt;/RecNum&gt;&lt;record&gt;&lt;rec-number&gt;1&lt;/rec-number&gt;&lt;foreign-keys&gt;&lt;key app="EN" db-id="50s0sw00tv5rvlessrsvpfd52f0zefprpafd"&gt;1&lt;/key&gt;&lt;/foreign-keys&gt;&lt;ref-type nam</w:instrText>
      </w:r>
      <w:r>
        <w:instrText>e="Report"&gt;27&lt;/ref-type&gt;&lt;contributors&gt;&lt;authors&gt;&lt;author&gt;George Wilkenfeld and Associates,&lt;/author&gt;&lt;/authors&gt;&lt;subsidiary-authors&gt;&lt;author&gt;Department of the Environment and Heritage&lt;/author&gt;&lt;/subsidiary-authors&gt;&lt;/contributors&gt;&lt;titles&gt;&lt;title&gt;Expanding the Water</w:instrText>
      </w:r>
      <w:r>
        <w:instrText xml:space="preserve"> Efficiency Labelling and Standards (WELS) Scheme&lt;/title&gt;&lt;/titles&gt;&lt;dates&gt;&lt;year&gt;2005&lt;/year&gt;&lt;pub-dates&gt;&lt;date&gt;November&lt;/date&gt;&lt;/pub-dates&gt;&lt;/dates&gt;&lt;pub-location&gt;Sydney&lt;/pub-location&gt;&lt;urls&gt;&lt;/urls&gt;&lt;/record&gt;&lt;/Cite&gt;&lt;/EndNote&gt;</w:instrText>
      </w:r>
      <w:r>
        <w:fldChar w:fldCharType="separate"/>
      </w:r>
      <w:r>
        <w:t>(George Wilkenfeld and Associates 2005)</w:t>
      </w:r>
      <w:r>
        <w:fldChar w:fldCharType="end"/>
      </w:r>
      <w:r>
        <w:t xml:space="preserve">. Colorado Springs Utilities </w:t>
      </w:r>
      <w:r>
        <w:fldChar w:fldCharType="begin"/>
      </w:r>
      <w:r>
        <w:instrText xml:space="preserve"> ADDIN EN.CITE &lt;EndNote&gt;&lt;Cite ExcludeAuth="1"&gt;&lt;Author&gt;Colorado Springs Utilities&lt;/Author&gt;&lt;Year&gt;2009&lt;/Year&gt;&lt;RecNum&gt;117&lt;/RecNum&gt;&lt;record&gt;&lt;rec-number&gt;117&lt;/rec-number&gt;&lt;foreign-keys&gt;&lt;key app="EN" db-id="50s0sw00tv5rvlessrsvpfd52f0z</w:instrText>
      </w:r>
      <w:r>
        <w:instrText xml:space="preserve">efprpafd"&gt;117&lt;/key&gt;&lt;/foreign-keys&gt;&lt;ref-type name="Web Page"&gt;12&lt;/ref-type&gt;&lt;contributors&gt;&lt;authors&gt;&lt;author&gt;Colorado Springs Utilities,&lt;/author&gt;&lt;/authors&gt;&lt;/contributors&gt;&lt;titles&gt;&lt;title&gt;Irrigation Equipment Rebate&lt;/title&gt;&lt;/titles&gt;&lt;volume&gt;2009&lt;/volume&gt;&lt;number&gt;28 </w:instrText>
      </w:r>
      <w:r>
        <w:instrText>July&lt;/number&gt;&lt;dates&gt;&lt;year&gt;2009&lt;/year&gt;&lt;/dates&gt;&lt;urls&gt;&lt;related-urls&gt;&lt;url&gt;http://www.csu.org/business/greenback/rebates/irrigation/item1320.html&lt;/url&gt;&lt;/related-urls&gt;&lt;/urls&gt;&lt;/record&gt;&lt;/Cite&gt;&lt;/EndNote&gt;</w:instrText>
      </w:r>
      <w:r>
        <w:fldChar w:fldCharType="separate"/>
      </w:r>
      <w:r>
        <w:t>(2009)</w:t>
      </w:r>
      <w:r>
        <w:fldChar w:fldCharType="end"/>
      </w:r>
      <w:r>
        <w:t>, for instance, maintains that ‘Smart irrigation cont</w:t>
      </w:r>
      <w:r>
        <w:t>rollers, including soil moisture sensors, can reduce irrigation water use by an average of 16 per cent’;</w:t>
      </w:r>
    </w:p>
    <w:p w14:paraId="04CBFF3F" w14:textId="77777777" w:rsidR="00000000" w:rsidRDefault="00DB4BBA">
      <w:pPr>
        <w:pStyle w:val="TextDotPoint"/>
      </w:pPr>
      <w:r>
        <w:t xml:space="preserve">the ‘form of power and backup’ of the controller (a blackout or battery failure could cause a controller to over- or under-water) </w:t>
      </w:r>
      <w:r>
        <w:fldChar w:fldCharType="begin"/>
      </w:r>
      <w:r>
        <w:instrText xml:space="preserve"> ADDIN EN.CITE &lt;End</w:instrText>
      </w:r>
      <w:r>
        <w:instrText>Note&gt;&lt;Cite&gt;&lt;Author&gt;George Wilkenfeld and Associates&lt;/Author&gt;&lt;Year&gt;2005&lt;/Year&gt;&lt;RecNum&gt;1&lt;/RecNum&gt;&lt;record&gt;&lt;rec-number&gt;1&lt;/rec-number&gt;&lt;foreign-keys&gt;&lt;key app="EN" db-id="50s0sw00tv5rvlessrsvpfd52f0zefprpafd"&gt;1&lt;/key&gt;&lt;/foreign-keys&gt;&lt;ref-type name="Report"&gt;27&lt;/ref-</w:instrText>
      </w:r>
      <w:r>
        <w:instrText>type&gt;&lt;contributors&gt;&lt;authors&gt;&lt;author&gt;George Wilkenfeld and Associates,&lt;/author&gt;&lt;/authors&gt;&lt;subsidiary-authors&gt;&lt;author&gt;Department of the Environment and Heritage&lt;/author&gt;&lt;/subsidiary-authors&gt;&lt;/contributors&gt;&lt;titles&gt;&lt;title&gt;Expanding the Water Efficiency Labelli</w:instrText>
      </w:r>
      <w:r>
        <w:instrText>ng and Standards (WELS) Scheme&lt;/title&gt;&lt;/titles&gt;&lt;dates&gt;&lt;year&gt;2005&lt;/year&gt;&lt;pub-dates&gt;&lt;date&gt;November&lt;/date&gt;&lt;/pub-dates&gt;&lt;/dates&gt;&lt;pub-location&gt;Sydney&lt;/pub-location&gt;&lt;urls&gt;&lt;/urls&gt;&lt;/record&gt;&lt;/Cite&gt;&lt;/EndNote&gt;</w:instrText>
      </w:r>
      <w:r>
        <w:fldChar w:fldCharType="separate"/>
      </w:r>
      <w:r>
        <w:t>(George Wilkenfeld and Associates 2005)</w:t>
      </w:r>
      <w:r>
        <w:fldChar w:fldCharType="end"/>
      </w:r>
      <w:r>
        <w:t>; and</w:t>
      </w:r>
    </w:p>
    <w:p w14:paraId="210BD048" w14:textId="77777777" w:rsidR="00000000" w:rsidRDefault="00DB4BBA">
      <w:pPr>
        <w:pStyle w:val="TextDotPoint"/>
      </w:pPr>
      <w:r>
        <w:t xml:space="preserve">the ability of the controller to customise watering schedules to the needs of different plant types and seasonal variations in rainfall. </w:t>
      </w:r>
    </w:p>
    <w:p w14:paraId="5D421D11" w14:textId="77777777" w:rsidR="00000000" w:rsidRDefault="00DB4BBA">
      <w:pPr>
        <w:pStyle w:val="Heading3"/>
        <w:rPr>
          <w:lang w:val="en-GB"/>
        </w:rPr>
      </w:pPr>
      <w:bookmarkStart w:id="24" w:name="_Toc118523881"/>
      <w:r>
        <w:rPr>
          <w:lang w:val="en-GB"/>
        </w:rPr>
        <w:t>Australian market for domestic irrigation controllers</w:t>
      </w:r>
      <w:bookmarkEnd w:id="24"/>
    </w:p>
    <w:p w14:paraId="4C61F6E2" w14:textId="77777777" w:rsidR="00000000" w:rsidRDefault="00DB4BBA">
      <w:pPr>
        <w:pStyle w:val="Text"/>
      </w:pPr>
      <w:r>
        <w:t>There is little public information</w:t>
      </w:r>
      <w:r>
        <w:t xml:space="preserve"> about the market for domestic irrigation controllers in Australia. Stakeholders consulted as part of this paper noted that, while they collected information about the domestic market, they were unwilling to share this information due to commercial and con</w:t>
      </w:r>
      <w:r>
        <w:t xml:space="preserve">fidentiality concerns. </w:t>
      </w:r>
    </w:p>
    <w:p w14:paraId="6549108B" w14:textId="77777777" w:rsidR="00000000" w:rsidRDefault="00DB4BBA">
      <w:pPr>
        <w:pStyle w:val="Text"/>
      </w:pPr>
      <w:r>
        <w:t xml:space="preserve">An ‘upper bound’ of the domestic irrigation controller market in Australia is provided by Irrigation Australia </w:t>
      </w:r>
      <w:r>
        <w:fldChar w:fldCharType="begin"/>
      </w:r>
      <w:r>
        <w:instrText xml:space="preserve"> ADDIN EN.CITE &lt;EndNote&gt;&lt;Cite ExcludeAuth="1"&gt;&lt;Author&gt;Irrigation Australia&lt;/Author&gt;&lt;Year&gt;2006&lt;/Year&gt;&lt;RecNum&gt;116&lt;/RecNum&gt;&lt;</w:instrText>
      </w:r>
      <w:r>
        <w:instrText>record&gt;&lt;rec-number&gt;116&lt;/rec-number&gt;&lt;foreign-keys&gt;&lt;key app="EN" db-id="50s0sw00tv5rvlessrsvpfd52f0zefprpafd"&gt;116&lt;/key&gt;&lt;/foreign-keys&gt;&lt;ref-type name="Web Page"&gt;12&lt;/ref-type&gt;&lt;contributors&gt;&lt;authors&gt;&lt;author&gt;Irrigation Australia,&lt;/author&gt;&lt;/authors&gt;&lt;/contributors</w:instrText>
      </w:r>
      <w:r>
        <w:instrText>&gt;&lt;titles&gt;&lt;title&gt;The value of urban irrigation in Australia&lt;/title&gt;&lt;/titles&gt;&lt;volume&gt;2009&lt;/volume&gt;&lt;number&gt;28 July&lt;/number&gt;&lt;dates&gt;&lt;year&gt;2006&lt;/year&gt;&lt;/dates&gt;&lt;urls&gt;&lt;related-urls&gt;&lt;url&gt;http://www.irrigation.org.au/assets/pages/6E9E6203-1708-51EB-A65470E3F41123EB/U</w:instrText>
      </w:r>
      <w:r>
        <w:instrText>rbanBrochure.pdf&lt;/url&gt;&lt;/related-urls&gt;&lt;/urls&gt;&lt;/record&gt;&lt;/Cite&gt;&lt;/EndNote&gt;</w:instrText>
      </w:r>
      <w:r>
        <w:fldChar w:fldCharType="separate"/>
      </w:r>
      <w:r>
        <w:t>(2006)</w:t>
      </w:r>
      <w:r>
        <w:fldChar w:fldCharType="end"/>
      </w:r>
      <w:r>
        <w:t>, which estimates that the urban irrigation industry in Australia comprises 2,657 businesses, 13,770 employees, and has an annual turnover of approximately $3 billion. These est</w:t>
      </w:r>
      <w:r>
        <w:t xml:space="preserve">imates cover not only irrigation equipment manufacturing (controllers, piping, emitters, etc.), but also irrigation installation and associated advisory services. </w:t>
      </w:r>
    </w:p>
    <w:p w14:paraId="3F0C9989" w14:textId="77777777" w:rsidR="00000000" w:rsidRDefault="00DB4BBA">
      <w:pPr>
        <w:pStyle w:val="Text"/>
      </w:pPr>
      <w:r>
        <w:t>Domestic irrigation controllers are manufactured internationally and in Australia. The major</w:t>
      </w:r>
      <w:r>
        <w:t xml:space="preserve"> domestic suppliers include Toro Irrigation, Hunter Industries, Irritrol and Rainbird. Consumers generally buy domestic irrigation controllers through authorised resellers (such as Bunnings and Reece) </w:t>
      </w:r>
      <w:r>
        <w:rPr>
          <w:lang w:val="en-GB"/>
        </w:rPr>
        <w:t>or directly from the supplier. The cost of domestic irr</w:t>
      </w:r>
      <w:r>
        <w:rPr>
          <w:lang w:val="en-GB"/>
        </w:rPr>
        <w:t xml:space="preserve">igation controller ranges from $20 to $1,000, depending on the sophistication of the controller </w:t>
      </w:r>
      <w:r>
        <w:rPr>
          <w:lang w:val="en-GB"/>
        </w:rPr>
        <w:fldChar w:fldCharType="begin"/>
      </w:r>
      <w:r>
        <w:rPr>
          <w:lang w:val="en-GB"/>
        </w:rPr>
        <w:instrText xml:space="preserve"> ADDIN EN.CITE &lt;EndNote&gt;&lt;Cite&gt;&lt;Author&gt;DIY Irrigation&lt;/Author&gt;&lt;Year&gt;2009&lt;/Year&gt;&lt;RecNum&gt;112&lt;/RecNum&gt;&lt;record&gt;&lt;rec-number&gt;112&lt;/rec-number&gt;&lt;foreign-keys&gt;&lt;key app="EN</w:instrText>
      </w:r>
      <w:r>
        <w:rPr>
          <w:lang w:val="en-GB"/>
        </w:rPr>
        <w:instrText>" db-id="50s0sw00tv5rvlessrsvpfd52f0zefprpafd"&gt;112&lt;/key&gt;&lt;/foreign-keys&gt;&lt;ref-type name="Web Page"&gt;12&lt;/ref-type&gt;&lt;contributors&gt;&lt;authors&gt;&lt;author&gt;DIY Irrigation,&lt;/author&gt;&lt;/authors&gt;&lt;/contributors&gt;&lt;titles&gt;&lt;title&gt;Online store&lt;/title&gt;&lt;/titles&gt;&lt;volume&gt;2009&lt;/volume&gt;&lt;</w:instrText>
      </w:r>
      <w:r>
        <w:rPr>
          <w:lang w:val="en-GB"/>
        </w:rPr>
        <w:instrText>number&gt;28 July&lt;/number&gt;&lt;dates&gt;&lt;year&gt;2009&lt;/year&gt;&lt;/dates&gt;&lt;urls&gt;&lt;related-urls&gt;&lt;url&gt;&lt;style face="underline" font="default" size="100%"&gt;http://www.diyirrigation.com.au&lt;/style&gt;&lt;/url&gt;&lt;/related-urls&gt;&lt;/urls&gt;&lt;/record&gt;&lt;/Cite&gt;&lt;Cite&gt;&lt;Author&gt;Wet Earth&lt;/Author&gt;&lt;Year&gt;2009</w:instrText>
      </w:r>
      <w:r>
        <w:rPr>
          <w:lang w:val="en-GB"/>
        </w:rPr>
        <w:instrText>&lt;/Year&gt;&lt;RecNum&gt;113&lt;/RecNum&gt;&lt;record&gt;&lt;rec-number&gt;113&lt;/rec-number&gt;&lt;foreign-keys&gt;&lt;key app="EN" db-id="50s0sw00tv5rvlessrsvpfd52f0zefprpafd"&gt;113&lt;/key&gt;&lt;/foreign-keys&gt;&lt;ref-type name="Web Page"&gt;12&lt;/ref-type&gt;&lt;contributors&gt;&lt;authors&gt;&lt;author&gt;Wet Earth,&lt;/author&gt;&lt;/autho</w:instrText>
      </w:r>
      <w:r>
        <w:rPr>
          <w:lang w:val="en-GB"/>
        </w:rPr>
        <w:instrText>rs&gt;&lt;/contributors&gt;&lt;titles&gt;&lt;title&gt;Irrigation controllers and tap timers&lt;/title&gt;&lt;/titles&gt;&lt;volume&gt;2009&lt;/volume&gt;&lt;number&gt;28 July&lt;/number&gt;&lt;dates&gt;&lt;year&gt;2009&lt;/year&gt;&lt;/dates&gt;&lt;urls&gt;&lt;related-urls&gt;&lt;url&gt;&lt;style face="underline" font="default" size="100%"&gt;http://www.wetea</w:instrText>
      </w:r>
      <w:r>
        <w:rPr>
          <w:lang w:val="en-GB"/>
        </w:rPr>
        <w:instrText>rth.com.au/&lt;/style&gt;&lt;/url&gt;&lt;/related-urls&gt;&lt;/urls&gt;&lt;/record&gt;&lt;/Cite&gt;&lt;/EndNote&gt;</w:instrText>
      </w:r>
      <w:r>
        <w:rPr>
          <w:lang w:val="en-GB"/>
        </w:rPr>
        <w:fldChar w:fldCharType="separate"/>
      </w:r>
      <w:r>
        <w:rPr>
          <w:lang w:val="en-GB"/>
        </w:rPr>
        <w:t>(DIY Irrigation 2009; Wet Earth 2009)</w:t>
      </w:r>
      <w:r>
        <w:rPr>
          <w:lang w:val="en-GB"/>
        </w:rPr>
        <w:fldChar w:fldCharType="end"/>
      </w:r>
      <w:r>
        <w:rPr>
          <w:lang w:val="en-GB"/>
        </w:rPr>
        <w:t>.</w:t>
      </w:r>
    </w:p>
    <w:p w14:paraId="616AEBF8" w14:textId="77777777" w:rsidR="00000000" w:rsidRDefault="00DB4BBA">
      <w:pPr>
        <w:pStyle w:val="Text"/>
      </w:pPr>
      <w:r>
        <w:lastRenderedPageBreak/>
        <w:t xml:space="preserve">Most irrigation controllers are not required by regulation to be installed by a licensed professional, with the exception of those controllers that are powered by 240 volts (and must be installed by a registered electrician) </w:t>
      </w:r>
      <w:r>
        <w:fldChar w:fldCharType="begin"/>
      </w:r>
      <w:r>
        <w:instrText xml:space="preserve"> ADDIN EN.CITE &lt;EndNote&gt;&lt;Cite&gt;&lt;</w:instrText>
      </w:r>
      <w:r>
        <w:instrText>Author&gt;Irrigation Australia&lt;/Author&gt;&lt;Year&gt;2008&lt;/Year&gt;&lt;RecNum&gt;5&lt;/RecNum&gt;&lt;record&gt;&lt;rec-number&gt;5&lt;/rec-number&gt;&lt;foreign-keys&gt;&lt;key app="EN" db-id="50s0sw00tv5rvlessrsvpfd52f0zefprpafd"&gt;5&lt;/key&gt;&lt;/foreign-keys&gt;&lt;ref-type name="Report"&gt;27&lt;/ref-type&gt;&lt;contributors&gt;&lt;auth</w:instrText>
      </w:r>
      <w:r>
        <w:instrText>ors&gt;&lt;author&gt;Irrigation Australia,&lt;/author&gt;&lt;author&gt;Hydro-Plan Irrigation Consultants,&lt;/author&gt;&lt;/authors&gt;&lt;subsidiary-authors&gt;&lt;author&gt;Department of the Environment, Water, Heritage and the Arts&lt;/author&gt;&lt;/subsidiary-authors&gt;&lt;/contributors&gt;&lt;titles&gt;&lt;title&gt;Potent</w:instrText>
      </w:r>
      <w:r>
        <w:instrText>ial for Expansion of the WELS Scheme to include Domestic Irrigation Controllers &lt;/title&gt;&lt;/titles&gt;&lt;dates&gt;&lt;year&gt;2008&lt;/year&gt;&lt;/dates&gt;&lt;pub-location&gt;Parkside, South Australia&lt;/pub-location&gt;&lt;urls&gt;&lt;/urls&gt;&lt;/record&gt;&lt;/Cite&gt;&lt;/EndNote&gt;</w:instrText>
      </w:r>
      <w:r>
        <w:fldChar w:fldCharType="separate"/>
      </w:r>
      <w:r>
        <w:t>(Irrigation Australia and Hydro-Pl</w:t>
      </w:r>
      <w:r>
        <w:t>an Irrigation Consultants 2008)</w:t>
      </w:r>
      <w:r>
        <w:fldChar w:fldCharType="end"/>
      </w:r>
      <w:r>
        <w:t>. It is advisable, however, that consumers seek the advice of a professional (either from the supplier, a reseller, or a garden/irrigation advisory firm) about the installation and use of their irrigation controller, in or</w:t>
      </w:r>
      <w:r>
        <w:t xml:space="preserve">der to maximise the efficiency of their irrigation system. </w:t>
      </w:r>
    </w:p>
    <w:p w14:paraId="5DEB62B5" w14:textId="77777777" w:rsidR="00000000" w:rsidRDefault="00DB4BBA">
      <w:pPr>
        <w:pStyle w:val="Text"/>
      </w:pPr>
      <w:r>
        <w:t>It is difficult to identify an estimate of useful life that is applicable to all domestic irrigation controllers, given the variation in sophistication and material quality between different contr</w:t>
      </w:r>
      <w:r>
        <w:t xml:space="preserve">oller types. Hunt, Lessick. et al </w:t>
      </w:r>
      <w:r>
        <w:fldChar w:fldCharType="begin"/>
      </w:r>
      <w:r>
        <w:instrText xml:space="preserve"> ADDIN EN.CITE &lt;EndNote&gt;&lt;Cite ExcludeAuth="1"&gt;&lt;Author&gt;Hunt&lt;/Author&gt;&lt;Year&gt;2001&lt;/Year&gt;&lt;RecNum&gt;114&lt;/RecNum&gt;&lt;record&gt;&lt;rec-number&gt;114&lt;/rec-number&gt;&lt;foreign-keys&gt;&lt;key app="EN" db-id="50s0sw00tv5rvlessrsvpfd52f0zefprpafd"&gt;114&lt;/key&gt;</w:instrText>
      </w:r>
      <w:r>
        <w:instrText>&lt;/foreign-keys&gt;&lt;ref-type name="Web Page"&gt;12&lt;/ref-type&gt;&lt;contributors&gt;&lt;authors&gt;&lt;author&gt;Theodore Hunt&lt;/author&gt;&lt;author&gt;Dale Lessick&lt;/author&gt;&lt;author&gt;Joe Berg&lt;/author&gt;&lt;author&gt;John Wiedmann&lt;/author&gt;&lt;author&gt;Tom Ash&lt;/author&gt;&lt;author&gt;David Pagano&lt;/author&gt;&lt;author&gt;Mich</w:instrText>
      </w:r>
      <w:r>
        <w:instrText>ael Marian&lt;/author&gt;&lt;author&gt;Anil Bamezai&lt;/author&gt;&lt;/authors&gt;&lt;/contributors&gt;&lt;titles&gt;&lt;title&gt;Residential Weather-Based Irrigation Scheduling: Evidence from the Irvine “ET Controller” Study &lt;/title&gt;&lt;/titles&gt;&lt;volume&gt;2009&lt;/volume&gt;&lt;number&gt;28 July&lt;/number&gt;&lt;dates&gt;&lt;ye</w:instrText>
      </w:r>
      <w:r>
        <w:instrText>ar&gt;2001&lt;/year&gt;&lt;/dates&gt;&lt;pub-location&gt;Irvine, CA&lt;/pub-location&gt;&lt;publisher&gt;Irvine Ranch Water District&lt;/publisher&gt;&lt;urls&gt;&lt;related-urls&gt;&lt;url&gt;http://www.irrigation.org/swat/images/irvine.pdf&lt;/url&gt;&lt;/related-urls&gt;&lt;/urls&gt;&lt;/record&gt;&lt;/Cite&gt;&lt;/EndNote&gt;</w:instrText>
      </w:r>
      <w:r>
        <w:fldChar w:fldCharType="separate"/>
      </w:r>
      <w:r>
        <w:t>(2001)</w:t>
      </w:r>
      <w:r>
        <w:fldChar w:fldCharType="end"/>
      </w:r>
      <w:r>
        <w:t>, in thei</w:t>
      </w:r>
      <w:r>
        <w:t xml:space="preserve">r study of an </w:t>
      </w:r>
      <w:r>
        <w:rPr>
          <w:rFonts w:ascii="Times-Roman" w:hAnsi="Times-Roman" w:cs="Times-Roman"/>
          <w:lang w:val="en-US"/>
        </w:rPr>
        <w:t xml:space="preserve">evapotranspiration (ET) irrigation controller, estimated that the controller’s useful life was 10-15 years. Similarly, Smith </w:t>
      </w:r>
      <w:r>
        <w:rPr>
          <w:rFonts w:ascii="Times-Roman" w:hAnsi="Times-Roman" w:cs="Times-Roman"/>
          <w:lang w:val="en-US"/>
        </w:rPr>
        <w:fldChar w:fldCharType="begin"/>
      </w:r>
      <w:r>
        <w:rPr>
          <w:rFonts w:ascii="Times-Roman" w:hAnsi="Times-Roman" w:cs="Times-Roman"/>
          <w:lang w:val="en-US"/>
        </w:rPr>
        <w:instrText xml:space="preserve"> ADDIN EN.CITE &lt;EndNote&gt;&lt;Cite ExcludeAuth="1"&gt;&lt;Author&gt;Smith&lt;/Author&gt;&lt;Year&gt;1996&lt;/Year&gt;&lt;RecNum&gt;115&lt;/RecNum&gt;&lt;record&gt;&lt;rec</w:instrText>
      </w:r>
      <w:r>
        <w:rPr>
          <w:rFonts w:ascii="Times-Roman" w:hAnsi="Times-Roman" w:cs="Times-Roman"/>
          <w:lang w:val="en-US"/>
        </w:rPr>
        <w:instrText>-number&gt;115&lt;/rec-number&gt;&lt;foreign-keys&gt;&lt;key app="EN" db-id="50s0sw00tv5rvlessrsvpfd52f0zefprpafd"&gt;115&lt;/key&gt;&lt;/foreign-keys&gt;&lt;ref-type name="Book"&gt;6&lt;/ref-type&gt;&lt;contributors&gt;&lt;authors&gt;&lt;author&gt;Stephen W. Smith&lt;/author&gt;&lt;/authors&gt;&lt;/contributors&gt;&lt;titles&gt;&lt;title&gt;Lands</w:instrText>
      </w:r>
      <w:r>
        <w:rPr>
          <w:rFonts w:ascii="Times-Roman" w:hAnsi="Times-Roman" w:cs="Times-Roman"/>
          <w:lang w:val="en-US"/>
        </w:rPr>
        <w:instrText>cape Irrigation: Design and management &lt;/title&gt;&lt;/titles&gt;&lt;dates&gt;&lt;year&gt;1996&lt;/year&gt;&lt;/dates&gt;&lt;pub-location&gt;Richmond&lt;/pub-location&gt;&lt;publisher&gt;Wiley&lt;/publisher&gt;&lt;urls&gt;&lt;/urls&gt;&lt;/record&gt;&lt;/Cite&gt;&lt;/EndNote&gt;</w:instrText>
      </w:r>
      <w:r>
        <w:rPr>
          <w:rFonts w:ascii="Times-Roman" w:hAnsi="Times-Roman" w:cs="Times-Roman"/>
          <w:lang w:val="en-US"/>
        </w:rPr>
        <w:fldChar w:fldCharType="separate"/>
      </w:r>
      <w:r>
        <w:rPr>
          <w:rFonts w:ascii="Times-Roman" w:hAnsi="Times-Roman" w:cs="Times-Roman"/>
          <w:lang w:val="en-US"/>
        </w:rPr>
        <w:t>(1996)</w:t>
      </w:r>
      <w:r>
        <w:rPr>
          <w:rFonts w:ascii="Times-Roman" w:hAnsi="Times-Roman" w:cs="Times-Roman"/>
          <w:lang w:val="en-US"/>
        </w:rPr>
        <w:fldChar w:fldCharType="end"/>
      </w:r>
      <w:r>
        <w:rPr>
          <w:rFonts w:ascii="Times-Roman" w:hAnsi="Times-Roman" w:cs="Times-Roman"/>
          <w:lang w:val="en-US"/>
        </w:rPr>
        <w:t xml:space="preserve"> notes that </w:t>
      </w:r>
      <w:r>
        <w:t>‘[i]rrigation systems are most commonly tho</w:t>
      </w:r>
      <w:r>
        <w:t xml:space="preserve">ught to have an economic life of 10 years, but the useful life may be much longer.’ It is likely that less sophisticated domestic irrigation controllers will have a useful life below these estimates (e.g. two to five years). </w:t>
      </w:r>
    </w:p>
    <w:p w14:paraId="2A369CE3" w14:textId="77777777" w:rsidR="00000000" w:rsidRDefault="00DB4BBA">
      <w:pPr>
        <w:pStyle w:val="Heading4"/>
      </w:pPr>
      <w:r>
        <w:t>Existing programs</w:t>
      </w:r>
    </w:p>
    <w:p w14:paraId="0C2D6FDC" w14:textId="77777777" w:rsidR="00000000" w:rsidRDefault="00DB4BBA">
      <w:pPr>
        <w:pStyle w:val="Text"/>
        <w:rPr>
          <w:lang w:val="en-GB"/>
        </w:rPr>
      </w:pPr>
      <w:r>
        <w:rPr>
          <w:lang w:val="en-GB"/>
        </w:rPr>
        <w:t>There are no</w:t>
      </w:r>
      <w:r>
        <w:rPr>
          <w:lang w:val="en-GB"/>
        </w:rPr>
        <w:t xml:space="preserve"> current programs that seek to regulate the water use or efficiency of domestic irrigation controllers in Australia. There are already a number of rebate schemes that seek to promote efficient use of water in the garden including through the use of domesti</w:t>
      </w:r>
      <w:r>
        <w:rPr>
          <w:lang w:val="en-GB"/>
        </w:rPr>
        <w:t>c irrigation controllers. These include:</w:t>
      </w:r>
    </w:p>
    <w:p w14:paraId="4628F1A9" w14:textId="77777777" w:rsidR="00000000" w:rsidRDefault="00DB4BBA">
      <w:pPr>
        <w:pStyle w:val="TextDotPoint"/>
        <w:rPr>
          <w:lang w:val="en-GB"/>
        </w:rPr>
      </w:pPr>
      <w:r>
        <w:rPr>
          <w:lang w:val="en-GB"/>
        </w:rPr>
        <w:t xml:space="preserve">South Australia: $50 when consumers spend $150 or more on specified water efficient garden goods including irrigation system controllers and soil moisture sensors or rain sensors </w:t>
      </w:r>
      <w:r>
        <w:rPr>
          <w:lang w:val="en-GB"/>
        </w:rPr>
        <w:fldChar w:fldCharType="begin"/>
      </w:r>
      <w:r>
        <w:rPr>
          <w:lang w:val="en-GB"/>
        </w:rPr>
        <w:instrText xml:space="preserve"> ADDIN EN.CITE &lt;EndNote&gt;&lt;Cite&gt;&lt;Aut</w:instrText>
      </w:r>
      <w:r>
        <w:rPr>
          <w:lang w:val="en-GB"/>
        </w:rPr>
        <w:instrText>hor&gt;SA Water&lt;/Author&gt;&lt;Year&gt;2009&lt;/Year&gt;&lt;RecNum&gt;121&lt;/RecNum&gt;&lt;record&gt;&lt;rec-number&gt;121&lt;/rec-number&gt;&lt;foreign-keys&gt;&lt;key app="EN" db-id="50s0sw00tv5rvlessrsvpfd52f0zefprpafd"&gt;121&lt;/key&gt;&lt;/foreign-keys&gt;&lt;ref-type name="Web Page"&gt;12&lt;/ref-type&gt;&lt;contributors&gt;&lt;authors&gt;&lt;au</w:instrText>
      </w:r>
      <w:r>
        <w:rPr>
          <w:lang w:val="en-GB"/>
        </w:rPr>
        <w:instrText>thor&gt;SA Water,&lt;/author&gt;&lt;/authors&gt;&lt;/contributors&gt;&lt;titles&gt;&lt;title&gt;Garden goods rebate&lt;/title&gt;&lt;/titles&gt;&lt;volume&gt;2009&lt;/volume&gt;&lt;number&gt;28 July&lt;/number&gt;&lt;dates&gt;&lt;year&gt;2009&lt;/year&gt;&lt;/dates&gt;&lt;urls&gt;&lt;related-urls&gt;&lt;url&gt;http://www.sawater.com.au/SAWater/YourHome/SaveWaterInY</w:instrText>
      </w:r>
      <w:r>
        <w:rPr>
          <w:lang w:val="en-GB"/>
        </w:rPr>
        <w:instrText>ourHome/rebates_garden.htm&lt;/url&gt;&lt;/related-urls&gt;&lt;/urls&gt;&lt;/record&gt;&lt;/Cite&gt;&lt;/EndNote&gt;</w:instrText>
      </w:r>
      <w:r>
        <w:rPr>
          <w:lang w:val="en-GB"/>
        </w:rPr>
        <w:fldChar w:fldCharType="separate"/>
      </w:r>
      <w:r>
        <w:rPr>
          <w:lang w:val="en-GB"/>
        </w:rPr>
        <w:t>(SA Water 2009)</w:t>
      </w:r>
      <w:r>
        <w:rPr>
          <w:lang w:val="en-GB"/>
        </w:rPr>
        <w:fldChar w:fldCharType="end"/>
      </w:r>
      <w:r>
        <w:rPr>
          <w:lang w:val="en-GB"/>
        </w:rPr>
        <w:t>.</w:t>
      </w:r>
    </w:p>
    <w:p w14:paraId="2BCBB6B7" w14:textId="77777777" w:rsidR="00000000" w:rsidRDefault="00DB4BBA">
      <w:pPr>
        <w:pStyle w:val="TextDotPoint"/>
        <w:rPr>
          <w:lang w:val="en-GB"/>
        </w:rPr>
      </w:pPr>
      <w:r>
        <w:rPr>
          <w:lang w:val="en-GB"/>
        </w:rPr>
        <w:t xml:space="preserve">Victoria: $30 when consumers spend $100 or more on water saving products including garden tap timers and soil moisture and rain sensors </w:t>
      </w:r>
      <w:r>
        <w:rPr>
          <w:lang w:val="en-GB"/>
        </w:rPr>
        <w:fldChar w:fldCharType="begin"/>
      </w:r>
      <w:r>
        <w:rPr>
          <w:lang w:val="en-GB"/>
        </w:rPr>
        <w:instrText xml:space="preserve"> ADDIN EN.CITE &lt;En</w:instrText>
      </w:r>
      <w:r>
        <w:rPr>
          <w:lang w:val="en-GB"/>
        </w:rPr>
        <w:instrText>dNote&gt;&lt;Cite&gt;&lt;Author&gt;Victorian Department of Sustainability and Environment&lt;/Author&gt;&lt;Year&gt;2009&lt;/Year&gt;&lt;RecNum&gt;122&lt;/RecNum&gt;&lt;record&gt;&lt;rec-number&gt;122&lt;/rec-number&gt;&lt;foreign-keys&gt;&lt;key app="EN" db-id="50s0sw00tv5rvlessrsvpfd52f0zefprpafd"&gt;122&lt;/key&gt;&lt;/foreign-keys&gt;&lt;re</w:instrText>
      </w:r>
      <w:r>
        <w:rPr>
          <w:lang w:val="en-GB"/>
        </w:rPr>
        <w:instrText>f-type name="Web Page"&gt;12&lt;/ref-type&gt;&lt;contributors&gt;&lt;authors&gt;&lt;author&gt;Victorian Department of Sustainability and Environment,&lt;/author&gt;&lt;/authors&gt;&lt;/contributors&gt;&lt;titles&gt;&lt;title&gt;Eligible products&lt;/title&gt;&lt;/titles&gt;&lt;volume&gt;2009&lt;/volume&gt;&lt;number&gt;28 July&lt;/number&gt;&lt;dates</w:instrText>
      </w:r>
      <w:r>
        <w:rPr>
          <w:lang w:val="en-GB"/>
        </w:rPr>
        <w:instrText>&gt;&lt;year&gt;2009&lt;/year&gt;&lt;/dates&gt;&lt;urls&gt;&lt;related-urls&gt;&lt;url&gt;&lt;style face="underline" font="default" size="100%"&gt;http://www.ourwater.vic.gov.au/saving/home/rebates/products&lt;/style&gt;&lt;/url&gt;&lt;/related-urls&gt;&lt;/urls&gt;&lt;/record&gt;&lt;/Cite&gt;&lt;/EndNote&gt;</w:instrText>
      </w:r>
      <w:r>
        <w:rPr>
          <w:lang w:val="en-GB"/>
        </w:rPr>
        <w:fldChar w:fldCharType="separate"/>
      </w:r>
      <w:r>
        <w:rPr>
          <w:lang w:val="en-GB"/>
        </w:rPr>
        <w:t>(Victorian Department of Sustaina</w:t>
      </w:r>
      <w:r>
        <w:rPr>
          <w:lang w:val="en-GB"/>
        </w:rPr>
        <w:t>bility and Environment 2009)</w:t>
      </w:r>
      <w:r>
        <w:rPr>
          <w:lang w:val="en-GB"/>
        </w:rPr>
        <w:fldChar w:fldCharType="end"/>
      </w:r>
      <w:r>
        <w:rPr>
          <w:lang w:val="en-GB"/>
        </w:rPr>
        <w:t>.</w:t>
      </w:r>
    </w:p>
    <w:p w14:paraId="412D478C" w14:textId="77777777" w:rsidR="00000000" w:rsidRDefault="00DB4BBA">
      <w:pPr>
        <w:pStyle w:val="TextDotPoint"/>
        <w:rPr>
          <w:lang w:val="en-GB"/>
        </w:rPr>
      </w:pPr>
      <w:r>
        <w:rPr>
          <w:lang w:val="en-GB"/>
        </w:rPr>
        <w:t xml:space="preserve">Northern Territory: up to $50 on water saving products including garden tap timers </w:t>
      </w:r>
      <w:r>
        <w:rPr>
          <w:lang w:val="en-GB"/>
        </w:rPr>
        <w:fldChar w:fldCharType="begin"/>
      </w:r>
      <w:r>
        <w:rPr>
          <w:lang w:val="en-GB"/>
        </w:rPr>
        <w:instrText xml:space="preserve"> ADDIN EN.CITE &lt;EndNote&gt;&lt;Cite&gt;&lt;Author&gt;Australian Conservation Foundation&lt;/Author&gt;&lt;Year&gt;2009&lt;/Year&gt;&lt;RecNum&gt;123&lt;/RecNum&gt;&lt;record&gt;&lt;rec-number&gt;</w:instrText>
      </w:r>
      <w:r>
        <w:rPr>
          <w:lang w:val="en-GB"/>
        </w:rPr>
        <w:instrText>123&lt;/rec-number&gt;&lt;foreign-keys&gt;&lt;key app="EN" db-id="50s0sw00tv5rvlessrsvpfd52f0zefprpafd"&gt;123&lt;/key&gt;&lt;/foreign-keys&gt;&lt;ref-type name="Web Page"&gt;12&lt;/ref-type&gt;&lt;contributors&gt;&lt;authors&gt;&lt;author&gt;Australian Conservation Foundation,&lt;/author&gt;&lt;/authors&gt;&lt;/contributors&gt;&lt;tit</w:instrText>
      </w:r>
      <w:r>
        <w:rPr>
          <w:lang w:val="en-GB"/>
        </w:rPr>
        <w:instrText>les&gt;&lt;title&gt;Money back for saving water&lt;/title&gt;&lt;/titles&gt;&lt;volume&gt;2009&lt;/volume&gt;&lt;number&gt;28 July&lt;/number&gt;&lt;dates&gt;&lt;year&gt;2009&lt;/year&gt;&lt;/dates&gt;&lt;urls&gt;&lt;related-urls&gt;&lt;url&gt;&lt;style face="underline" font="default" size="100%"&gt;http://www.acfonline.org.au/articles/news.asp?ne</w:instrText>
      </w:r>
      <w:r>
        <w:rPr>
          <w:lang w:val="en-GB"/>
        </w:rPr>
        <w:instrText>ws_id=153&lt;/style&gt;&lt;/url&gt;&lt;/related-urls&gt;&lt;/urls&gt;&lt;/record&gt;&lt;/Cite&gt;&lt;/EndNote&gt;</w:instrText>
      </w:r>
      <w:r>
        <w:rPr>
          <w:lang w:val="en-GB"/>
        </w:rPr>
        <w:fldChar w:fldCharType="separate"/>
      </w:r>
      <w:r>
        <w:rPr>
          <w:lang w:val="en-GB"/>
        </w:rPr>
        <w:t>(Australian Conservation Foundation 2009)</w:t>
      </w:r>
      <w:r>
        <w:rPr>
          <w:lang w:val="en-GB"/>
        </w:rPr>
        <w:fldChar w:fldCharType="end"/>
      </w:r>
      <w:r>
        <w:rPr>
          <w:lang w:val="en-GB"/>
        </w:rPr>
        <w:t>.</w:t>
      </w:r>
    </w:p>
    <w:p w14:paraId="011EA120" w14:textId="77777777" w:rsidR="00000000" w:rsidRDefault="00DB4BBA">
      <w:pPr>
        <w:pStyle w:val="TextDotPoint"/>
        <w:rPr>
          <w:lang w:val="en-GB"/>
        </w:rPr>
      </w:pPr>
      <w:r>
        <w:rPr>
          <w:lang w:val="en-GB"/>
        </w:rPr>
        <w:t xml:space="preserve">Western Australia: $300 or up to 50 per cent of the installation cost of Waterwise irrigation systems and $20 for approved rain sensors </w:t>
      </w:r>
      <w:r>
        <w:rPr>
          <w:lang w:val="en-GB"/>
        </w:rPr>
        <w:fldChar w:fldCharType="begin"/>
      </w:r>
      <w:r>
        <w:rPr>
          <w:lang w:val="en-GB"/>
        </w:rPr>
        <w:instrText xml:space="preserve"> </w:instrText>
      </w:r>
      <w:r>
        <w:rPr>
          <w:lang w:val="en-GB"/>
        </w:rPr>
        <w:instrText>ADDIN EN.CITE &lt;EndNote&gt;&lt;Cite&gt;&lt;Author&gt;Western Australian Department of Water&lt;/Author&gt;&lt;Year&gt;2009&lt;/Year&gt;&lt;RecNum&gt;124&lt;/RecNum&gt;&lt;record&gt;&lt;rec-number&gt;124&lt;/rec-number&gt;&lt;foreign-keys&gt;&lt;key app="EN" db-id="50s0sw00tv5rvlessrsvpfd52f0zefprpafd"&gt;124&lt;/key&gt;&lt;/foreign-keys&gt;&lt;r</w:instrText>
      </w:r>
      <w:r>
        <w:rPr>
          <w:lang w:val="en-GB"/>
        </w:rPr>
        <w:instrText>ef-type name="Web Page"&gt;12&lt;/ref-type&gt;&lt;contributors&gt;&lt;authors&gt;&lt;author&gt;Western Australian Department of Water,&lt;/author&gt;&lt;/authors&gt;&lt;/contributors&gt;&lt;titles&gt;&lt;title&gt;Waterwise consumer rebates&lt;/title&gt;&lt;/titles&gt;&lt;volume&gt;2009&lt;/volume&gt;&lt;number&gt;28 July&lt;/number&gt;&lt;dates&gt;&lt;year</w:instrText>
      </w:r>
      <w:r>
        <w:rPr>
          <w:lang w:val="en-GB"/>
        </w:rPr>
        <w:instrText>&gt;2009&lt;/year&gt;&lt;/dates&gt;&lt;urls&gt;&lt;related-urls&gt;&lt;url&gt;http://www.water.wa.gov.au/Doing+business+with+us/Waterwise+consumer+rebates/default.aspx&lt;/url&gt;&lt;/related-urls&gt;&lt;/urls&gt;&lt;/record&gt;&lt;/Cite&gt;&lt;/EndNote&gt;</w:instrText>
      </w:r>
      <w:r>
        <w:rPr>
          <w:lang w:val="en-GB"/>
        </w:rPr>
        <w:fldChar w:fldCharType="separate"/>
      </w:r>
      <w:r>
        <w:rPr>
          <w:lang w:val="en-GB"/>
        </w:rPr>
        <w:t>(Western Australian Department of Water 2009)</w:t>
      </w:r>
      <w:r>
        <w:rPr>
          <w:lang w:val="en-GB"/>
        </w:rPr>
        <w:fldChar w:fldCharType="end"/>
      </w:r>
      <w:r>
        <w:rPr>
          <w:lang w:val="en-GB"/>
        </w:rPr>
        <w:t>.</w:t>
      </w:r>
    </w:p>
    <w:p w14:paraId="0F18053F" w14:textId="77777777" w:rsidR="00000000" w:rsidRDefault="00DB4BBA">
      <w:pPr>
        <w:pStyle w:val="TextDotPoint"/>
        <w:rPr>
          <w:lang w:val="en-GB"/>
        </w:rPr>
      </w:pPr>
      <w:r>
        <w:rPr>
          <w:lang w:val="en-GB"/>
        </w:rPr>
        <w:t>Australian Capit</w:t>
      </w:r>
      <w:r>
        <w:rPr>
          <w:lang w:val="en-GB"/>
        </w:rPr>
        <w:t xml:space="preserve">al Territory: up to $50 on water saving products including tap timers, irrigation system controllers and moisture/rain sensors when consumers undertake a free assessment of their garden’s watering needs and ways to use less water </w:t>
      </w:r>
      <w:r>
        <w:rPr>
          <w:lang w:val="en-GB"/>
        </w:rPr>
        <w:fldChar w:fldCharType="begin"/>
      </w:r>
      <w:r>
        <w:rPr>
          <w:lang w:val="en-GB"/>
        </w:rPr>
        <w:instrText xml:space="preserve"> ADDIN EN.CITE &lt;EndNote&gt;&lt;C</w:instrText>
      </w:r>
      <w:r>
        <w:rPr>
          <w:lang w:val="en-GB"/>
        </w:rPr>
        <w:instrText>ite&gt;&lt;Author&gt;ACT Government&lt;/Author&gt;&lt;Year&gt;2009&lt;/Year&gt;&lt;RecNum&gt;125&lt;/RecNum&gt;&lt;record&gt;&lt;rec-number&gt;125&lt;/rec-number&gt;&lt;foreign-keys&gt;&lt;key app="EN" db-id="50s0sw00tv5rvlessrsvpfd52f0zefprpafd"&gt;125&lt;/key&gt;&lt;/foreign-keys&gt;&lt;ref-type name="Web Page"&gt;12&lt;/ref-type&gt;&lt;contributor</w:instrText>
      </w:r>
      <w:r>
        <w:rPr>
          <w:lang w:val="en-GB"/>
        </w:rPr>
        <w:instrText>s&gt;&lt;authors&gt;&lt;author&gt;ACT Government,&lt;/author&gt;&lt;/authors&gt;&lt;/contributors&gt;&lt;titles&gt;&lt;title&gt;GardenSmart Service&lt;/title&gt;&lt;/titles&gt;&lt;volume&gt;2009&lt;/volume&gt;&lt;number&gt;28 July&lt;/number&gt;&lt;dates&gt;&lt;year&gt;2009&lt;/year&gt;&lt;/dates&gt;&lt;urls&gt;&lt;related-urls&gt;&lt;url&gt;&lt;style face="underline" font="defau</w:instrText>
      </w:r>
      <w:r>
        <w:rPr>
          <w:lang w:val="en-GB"/>
        </w:rPr>
        <w:instrText>lt" size="100%"&gt;http://www.thinkwater.act.gov.au/tune-ups_rebates/outdoor_water_tune-up.shtml&lt;/style&gt;&lt;/url&gt;&lt;/related-urls&gt;&lt;/urls&gt;&lt;/record&gt;&lt;/Cite&gt;&lt;/EndNote&gt;</w:instrText>
      </w:r>
      <w:r>
        <w:rPr>
          <w:lang w:val="en-GB"/>
        </w:rPr>
        <w:fldChar w:fldCharType="separate"/>
      </w:r>
      <w:r>
        <w:rPr>
          <w:lang w:val="en-GB"/>
        </w:rPr>
        <w:t>(ACT Government 2009)</w:t>
      </w:r>
      <w:r>
        <w:rPr>
          <w:lang w:val="en-GB"/>
        </w:rPr>
        <w:fldChar w:fldCharType="end"/>
      </w:r>
      <w:r>
        <w:rPr>
          <w:lang w:val="en-GB"/>
        </w:rPr>
        <w:t>.</w:t>
      </w:r>
    </w:p>
    <w:p w14:paraId="278DF358" w14:textId="77777777" w:rsidR="00000000" w:rsidRDefault="00DB4BBA">
      <w:pPr>
        <w:pStyle w:val="Text"/>
        <w:rPr>
          <w:lang w:val="en-GB"/>
        </w:rPr>
      </w:pPr>
      <w:r>
        <w:rPr>
          <w:lang w:val="en-GB"/>
        </w:rPr>
        <w:t>In addition, some local governments offer rebates for investment in water s</w:t>
      </w:r>
      <w:r>
        <w:rPr>
          <w:lang w:val="en-GB"/>
        </w:rPr>
        <w:t>aving garden products.</w:t>
      </w:r>
    </w:p>
    <w:p w14:paraId="0BBD3174" w14:textId="77777777" w:rsidR="00000000" w:rsidRDefault="00DB4BBA">
      <w:pPr>
        <w:pStyle w:val="Heading3"/>
        <w:rPr>
          <w:lang w:val="en-GB"/>
        </w:rPr>
      </w:pPr>
      <w:bookmarkStart w:id="25" w:name="_Toc118523882"/>
      <w:r>
        <w:rPr>
          <w:lang w:val="en-GB"/>
        </w:rPr>
        <w:t>Standards</w:t>
      </w:r>
      <w:bookmarkEnd w:id="25"/>
    </w:p>
    <w:p w14:paraId="741EECFE" w14:textId="77777777" w:rsidR="00000000" w:rsidRDefault="00DB4BBA">
      <w:pPr>
        <w:pStyle w:val="Text"/>
      </w:pPr>
      <w:r>
        <w:t xml:space="preserve">In their examination of the suitability of domestic irrigation controllers for inclusion in the WELS scheme, Irrigation Australia </w:t>
      </w:r>
      <w:r>
        <w:fldChar w:fldCharType="begin"/>
      </w:r>
      <w:r>
        <w:instrText xml:space="preserve"> ADDIN EN.CI</w:instrText>
      </w:r>
      <w:r>
        <w:instrText>TE &lt;EndNote&gt;&lt;Cite&gt;&lt;Author&gt;Irrigation Australia&lt;/Author&gt;&lt;Year&gt;2008&lt;/Year&gt;&lt;RecNum&gt;5&lt;/RecNum&gt;&lt;record&gt;&lt;rec-number&gt;5&lt;/rec-number&gt;&lt;foreign-keys&gt;&lt;key app="EN" db-id="50s0sw00tv5rvlessrsvpfd52f0zefprpafd"&gt;5&lt;/key&gt;&lt;/foreign-keys&gt;&lt;ref-type name="Report"&gt;27&lt;/ref-type&gt;</w:instrText>
      </w:r>
      <w:r>
        <w:instrText>&lt;contributors&gt;&lt;authors&gt;&lt;author&gt;Irrigation Australia,&lt;/author&gt;&lt;author&gt;Hydro-Plan Irrigation Consultants,&lt;/author&gt;&lt;/authors&gt;&lt;subsidiary-authors&gt;&lt;author&gt;Department of the Environment, Water, Heritage and the Arts&lt;/author&gt;&lt;/subsidiary-authors&gt;&lt;/contributors&gt;&lt;t</w:instrText>
      </w:r>
      <w:r>
        <w:instrText>itles&gt;&lt;title&gt;Potential for Expansion of the WELS Scheme to include Domestic Irrigation Controllers &lt;/title&gt;&lt;/titles&gt;&lt;dates&gt;&lt;year&gt;2008&lt;/year&gt;&lt;/dates&gt;&lt;pub-location&gt;Parkside, South Australia&lt;/pub-location&gt;&lt;urls&gt;&lt;/urls&gt;&lt;/record&gt;&lt;/Cite&gt;&lt;/EndNote&gt;</w:instrText>
      </w:r>
      <w:r>
        <w:fldChar w:fldCharType="separate"/>
      </w:r>
      <w:r>
        <w:t>(Irrigation Aus</w:t>
      </w:r>
      <w:r>
        <w:t>tralia and Hydro-Plan Irrigation Consultants 2008)</w:t>
      </w:r>
      <w:r>
        <w:fldChar w:fldCharType="end"/>
      </w:r>
      <w:r>
        <w:t xml:space="preserve"> note that:</w:t>
      </w:r>
    </w:p>
    <w:p w14:paraId="6176B728" w14:textId="77777777" w:rsidR="00000000" w:rsidRDefault="00DB4BBA">
      <w:pPr>
        <w:pStyle w:val="Quote"/>
      </w:pPr>
      <w:r>
        <w:rPr>
          <w:rFonts w:cs="Helvetica"/>
          <w:szCs w:val="22"/>
          <w:lang w:val="en-US"/>
        </w:rPr>
        <w:lastRenderedPageBreak/>
        <w:t xml:space="preserve">“There are no Australian standards which are applicable to all domestic irrigation controllers.  Further, we could find no standards from any country which were close enough to even consider </w:t>
      </w:r>
      <w:r>
        <w:rPr>
          <w:rFonts w:cs="Helvetica"/>
          <w:szCs w:val="22"/>
          <w:lang w:val="en-US"/>
        </w:rPr>
        <w:t>as a vehicle for development towards a supporting standard for the extension of the WELS Scheme.”</w:t>
      </w:r>
    </w:p>
    <w:p w14:paraId="225D6AE6" w14:textId="77777777" w:rsidR="00000000" w:rsidRDefault="00DB4BBA">
      <w:pPr>
        <w:pStyle w:val="Text"/>
      </w:pPr>
      <w:r>
        <w:t xml:space="preserve">Domestic irrigation controllers that are powered by 240 volts are subject to AS/NZS 61558.2.6:2001 </w:t>
      </w:r>
      <w:r>
        <w:rPr>
          <w:i/>
        </w:rPr>
        <w:t>Safety of power transformers, power supply units and simila</w:t>
      </w:r>
      <w:r>
        <w:rPr>
          <w:i/>
        </w:rPr>
        <w:t>r</w:t>
      </w:r>
      <w:r>
        <w:t>.</w:t>
      </w:r>
    </w:p>
    <w:p w14:paraId="74DACC93" w14:textId="77777777" w:rsidR="00000000" w:rsidRDefault="00DB4BBA">
      <w:pPr>
        <w:pStyle w:val="Text"/>
      </w:pPr>
    </w:p>
    <w:p w14:paraId="08E70723" w14:textId="77777777" w:rsidR="00000000" w:rsidRDefault="00DB4BBA">
      <w:pPr>
        <w:pStyle w:val="Heading1"/>
      </w:pPr>
      <w:bookmarkStart w:id="26" w:name="_Toc118523883"/>
      <w:bookmarkEnd w:id="26"/>
    </w:p>
    <w:p w14:paraId="22097434" w14:textId="77777777" w:rsidR="00000000" w:rsidRDefault="00DB4BBA">
      <w:pPr>
        <w:pStyle w:val="Heading2"/>
      </w:pPr>
      <w:bookmarkStart w:id="27" w:name="_Toc118523884"/>
      <w:r>
        <w:t>Methodology</w:t>
      </w:r>
      <w:bookmarkEnd w:id="27"/>
    </w:p>
    <w:p w14:paraId="5FBBA1FD" w14:textId="77777777" w:rsidR="00000000" w:rsidRDefault="00DB4BBA">
      <w:pPr>
        <w:pStyle w:val="Text"/>
      </w:pPr>
      <w:r>
        <w:t>The Allen Consulting Group utilised a range of approaches to collect data for this paper. These included:</w:t>
      </w:r>
    </w:p>
    <w:p w14:paraId="3C426278" w14:textId="77777777" w:rsidR="00000000" w:rsidRDefault="00DB4BBA">
      <w:pPr>
        <w:pStyle w:val="TextDotPoint"/>
      </w:pPr>
      <w:r>
        <w:t>reviewing literature; and</w:t>
      </w:r>
    </w:p>
    <w:p w14:paraId="59C85D39" w14:textId="77777777" w:rsidR="00000000" w:rsidRDefault="00DB4BBA">
      <w:pPr>
        <w:pStyle w:val="TextDotPoint"/>
      </w:pPr>
      <w:r>
        <w:t>teleconferences with stakeholders.</w:t>
      </w:r>
    </w:p>
    <w:p w14:paraId="76AD466B" w14:textId="77777777" w:rsidR="00000000" w:rsidRDefault="00DB4BBA">
      <w:pPr>
        <w:pStyle w:val="Heading3"/>
        <w:numPr>
          <w:ilvl w:val="2"/>
          <w:numId w:val="12"/>
        </w:numPr>
      </w:pPr>
      <w:bookmarkStart w:id="28" w:name="_Toc118523885"/>
      <w:r>
        <w:t>Sources reviewed</w:t>
      </w:r>
      <w:bookmarkEnd w:id="28"/>
      <w:r>
        <w:t xml:space="preserve"> </w:t>
      </w:r>
    </w:p>
    <w:p w14:paraId="70737A98" w14:textId="77777777" w:rsidR="00000000" w:rsidRDefault="00DB4BBA">
      <w:pPr>
        <w:pStyle w:val="Text"/>
      </w:pPr>
      <w:r>
        <w:t xml:space="preserve">A review of available literature was undertaken. For a full list of documents referred to during this study please see </w:t>
      </w:r>
      <w:r>
        <w:fldChar w:fldCharType="begin"/>
      </w:r>
      <w:r>
        <w:instrText xml:space="preserve"> REF _Ref118348231 \r \h </w:instrText>
      </w:r>
      <w:r>
        <w:fldChar w:fldCharType="separate"/>
      </w:r>
      <w:r>
        <w:t>Appe</w:t>
      </w:r>
      <w:r>
        <w:t>ndix A</w:t>
      </w:r>
      <w:r>
        <w:fldChar w:fldCharType="end"/>
      </w:r>
      <w:r>
        <w:t>.</w:t>
      </w:r>
    </w:p>
    <w:p w14:paraId="1932FFA6" w14:textId="77777777" w:rsidR="00000000" w:rsidRDefault="00DB4BBA">
      <w:pPr>
        <w:pStyle w:val="Heading3"/>
      </w:pPr>
      <w:bookmarkStart w:id="29" w:name="_Toc118523886"/>
      <w:r>
        <w:t>Stakeholders consulted</w:t>
      </w:r>
      <w:bookmarkEnd w:id="29"/>
    </w:p>
    <w:p w14:paraId="54864278" w14:textId="77777777" w:rsidR="00000000" w:rsidRDefault="00DB4BBA">
      <w:pPr>
        <w:pStyle w:val="Text"/>
      </w:pPr>
      <w:r>
        <w:t xml:space="preserve">Consultations were undertaken with suppliers, industry associations, technical experts, regulatory bodies and governments. </w:t>
      </w:r>
      <w:r>
        <w:fldChar w:fldCharType="begin"/>
      </w:r>
      <w:r>
        <w:instrText xml:space="preserve"> REF _Ref110500432 \n \h </w:instrText>
      </w:r>
      <w:r>
        <w:fldChar w:fldCharType="separate"/>
      </w:r>
      <w:r>
        <w:t>Table 3.1</w:t>
      </w:r>
      <w:r>
        <w:fldChar w:fldCharType="end"/>
      </w:r>
      <w:r>
        <w:t xml:space="preserve"> provides a list of the stakeholders consulted for the paper (including method of consultation). Consultations were also pursued with Standards Australia in its capacity as the adm</w:t>
      </w:r>
      <w:r>
        <w:t>inistrator of WaterMark and with SAI-Global Pty Ltd (SAI-Global) as one of the major certifiers under the WaterMark scheme. Unfortunately, given the state of flux associated with the governance of this structure, it was not possible to make contact with an</w:t>
      </w:r>
      <w:r>
        <w:t>yone at SAI-Global who that could discuss the issue of rating domestic irrigation controllers.</w:t>
      </w:r>
    </w:p>
    <w:p w14:paraId="3DB0D427" w14:textId="77777777" w:rsidR="00000000" w:rsidRDefault="00DB4BBA">
      <w:pPr>
        <w:pStyle w:val="Heading8"/>
        <w:numPr>
          <w:ilvl w:val="7"/>
          <w:numId w:val="17"/>
        </w:numPr>
      </w:pPr>
      <w:bookmarkStart w:id="30" w:name="_Ref110500432"/>
    </w:p>
    <w:bookmarkEnd w:id="30"/>
    <w:p w14:paraId="43C7BED9" w14:textId="77777777" w:rsidR="00000000" w:rsidRDefault="00DB4BBA">
      <w:pPr>
        <w:pStyle w:val="TableTitle"/>
        <w:ind w:right="56"/>
      </w:pPr>
      <w:r>
        <w:t>stakeholder consultations</w:t>
      </w:r>
    </w:p>
    <w:tbl>
      <w:tblPr>
        <w:tblW w:w="7370" w:type="dxa"/>
        <w:tblInd w:w="108" w:type="dxa"/>
        <w:tblBorders>
          <w:bottom w:val="single" w:sz="4" w:space="0" w:color="auto"/>
        </w:tblBorders>
        <w:tblLayout w:type="fixed"/>
        <w:tblLook w:val="0000" w:firstRow="0" w:lastRow="0" w:firstColumn="0" w:lastColumn="0" w:noHBand="0" w:noVBand="0"/>
      </w:tblPr>
      <w:tblGrid>
        <w:gridCol w:w="2410"/>
        <w:gridCol w:w="2835"/>
        <w:gridCol w:w="2125"/>
      </w:tblGrid>
      <w:tr w:rsidR="00000000" w14:paraId="4FFDF9DF" w14:textId="77777777">
        <w:trPr>
          <w:trHeight w:val="255"/>
        </w:trPr>
        <w:tc>
          <w:tcPr>
            <w:tcW w:w="2410" w:type="dxa"/>
            <w:tcBorders>
              <w:bottom w:val="nil"/>
            </w:tcBorders>
            <w:shd w:val="clear" w:color="auto" w:fill="800000"/>
            <w:noWrap/>
            <w:vAlign w:val="bottom"/>
          </w:tcPr>
          <w:p w14:paraId="60F16D23" w14:textId="77777777" w:rsidR="00000000" w:rsidRDefault="00DB4BBA">
            <w:pPr>
              <w:pStyle w:val="TableHeads"/>
              <w:spacing w:before="60" w:after="60"/>
              <w:ind w:left="57" w:right="0"/>
              <w:rPr>
                <w:lang w:val="en-US"/>
              </w:rPr>
            </w:pPr>
            <w:r>
              <w:rPr>
                <w:lang w:val="en-US"/>
              </w:rPr>
              <w:t>Name</w:t>
            </w:r>
          </w:p>
        </w:tc>
        <w:tc>
          <w:tcPr>
            <w:tcW w:w="2835" w:type="dxa"/>
            <w:tcBorders>
              <w:bottom w:val="nil"/>
            </w:tcBorders>
            <w:shd w:val="clear" w:color="auto" w:fill="800000"/>
            <w:noWrap/>
            <w:vAlign w:val="bottom"/>
          </w:tcPr>
          <w:p w14:paraId="28F4BD8B" w14:textId="77777777" w:rsidR="00000000" w:rsidRDefault="00DB4BBA">
            <w:pPr>
              <w:pStyle w:val="TableHeads"/>
              <w:spacing w:before="60" w:after="60"/>
              <w:ind w:left="57" w:right="0"/>
              <w:rPr>
                <w:lang w:val="en-US"/>
              </w:rPr>
            </w:pPr>
            <w:r>
              <w:rPr>
                <w:lang w:val="en-US"/>
              </w:rPr>
              <w:t>Institution</w:t>
            </w:r>
          </w:p>
        </w:tc>
        <w:tc>
          <w:tcPr>
            <w:tcW w:w="2125" w:type="dxa"/>
            <w:tcBorders>
              <w:bottom w:val="nil"/>
            </w:tcBorders>
            <w:shd w:val="clear" w:color="auto" w:fill="800000"/>
            <w:noWrap/>
            <w:vAlign w:val="bottom"/>
          </w:tcPr>
          <w:p w14:paraId="50185191" w14:textId="77777777" w:rsidR="00000000" w:rsidRDefault="00DB4BBA">
            <w:pPr>
              <w:pStyle w:val="TableHeads"/>
              <w:spacing w:before="60" w:after="60"/>
              <w:ind w:left="57" w:right="0"/>
              <w:rPr>
                <w:lang w:val="en-US"/>
              </w:rPr>
            </w:pPr>
            <w:r>
              <w:rPr>
                <w:lang w:val="en-US"/>
              </w:rPr>
              <w:t>Method of Consultation</w:t>
            </w:r>
          </w:p>
        </w:tc>
      </w:tr>
      <w:tr w:rsidR="00000000" w14:paraId="4FB9D7FA" w14:textId="77777777">
        <w:trPr>
          <w:trHeight w:val="255"/>
        </w:trPr>
        <w:tc>
          <w:tcPr>
            <w:tcW w:w="2410" w:type="dxa"/>
            <w:tcBorders>
              <w:top w:val="nil"/>
            </w:tcBorders>
            <w:shd w:val="clear" w:color="auto" w:fill="E6E6E6"/>
            <w:noWrap/>
            <w:vAlign w:val="bottom"/>
          </w:tcPr>
          <w:p w14:paraId="5D67C3D1" w14:textId="77777777" w:rsidR="00000000" w:rsidRDefault="00DB4BBA">
            <w:pPr>
              <w:pStyle w:val="TableText"/>
              <w:ind w:left="57" w:right="0"/>
              <w:rPr>
                <w:lang w:val="en-US"/>
              </w:rPr>
            </w:pPr>
            <w:r>
              <w:rPr>
                <w:lang w:val="en-US"/>
              </w:rPr>
              <w:t>John Gransbury</w:t>
            </w:r>
          </w:p>
        </w:tc>
        <w:tc>
          <w:tcPr>
            <w:tcW w:w="2835" w:type="dxa"/>
            <w:tcBorders>
              <w:top w:val="nil"/>
            </w:tcBorders>
            <w:shd w:val="clear" w:color="auto" w:fill="E6E6E6"/>
            <w:noWrap/>
            <w:vAlign w:val="bottom"/>
          </w:tcPr>
          <w:p w14:paraId="70D000AA" w14:textId="77777777" w:rsidR="00000000" w:rsidRDefault="00DB4BBA">
            <w:pPr>
              <w:pStyle w:val="TableText"/>
              <w:ind w:left="57" w:right="0"/>
              <w:rPr>
                <w:lang w:val="en-US"/>
              </w:rPr>
            </w:pPr>
            <w:r>
              <w:rPr>
                <w:lang w:val="en-US"/>
              </w:rPr>
              <w:t>Irrigation Australia and Hydro-Plan Irrigation Consultants</w:t>
            </w:r>
          </w:p>
        </w:tc>
        <w:tc>
          <w:tcPr>
            <w:tcW w:w="2125" w:type="dxa"/>
            <w:tcBorders>
              <w:top w:val="nil"/>
            </w:tcBorders>
            <w:shd w:val="clear" w:color="auto" w:fill="E6E6E6"/>
            <w:noWrap/>
            <w:vAlign w:val="bottom"/>
          </w:tcPr>
          <w:p w14:paraId="76B66E7E" w14:textId="77777777" w:rsidR="00000000" w:rsidRDefault="00DB4BBA">
            <w:pPr>
              <w:pStyle w:val="TableText"/>
              <w:ind w:left="57" w:right="0"/>
              <w:rPr>
                <w:lang w:val="en-US"/>
              </w:rPr>
            </w:pPr>
            <w:r>
              <w:rPr>
                <w:lang w:val="en-US"/>
              </w:rPr>
              <w:t>Telephone, email</w:t>
            </w:r>
          </w:p>
        </w:tc>
      </w:tr>
      <w:tr w:rsidR="00000000" w14:paraId="6C7F8800" w14:textId="77777777">
        <w:trPr>
          <w:trHeight w:val="255"/>
        </w:trPr>
        <w:tc>
          <w:tcPr>
            <w:tcW w:w="2410" w:type="dxa"/>
            <w:shd w:val="clear" w:color="auto" w:fill="E6E6E6"/>
            <w:noWrap/>
            <w:vAlign w:val="bottom"/>
          </w:tcPr>
          <w:p w14:paraId="279F6392" w14:textId="77777777" w:rsidR="00000000" w:rsidRDefault="00DB4BBA">
            <w:pPr>
              <w:pStyle w:val="TableText"/>
              <w:ind w:left="57" w:right="0"/>
              <w:rPr>
                <w:lang w:val="en-US"/>
              </w:rPr>
            </w:pPr>
            <w:r>
              <w:rPr>
                <w:lang w:val="en-US"/>
              </w:rPr>
              <w:t>Dr Basant Maheshwri</w:t>
            </w:r>
          </w:p>
        </w:tc>
        <w:tc>
          <w:tcPr>
            <w:tcW w:w="2835" w:type="dxa"/>
            <w:shd w:val="clear" w:color="auto" w:fill="E6E6E6"/>
            <w:noWrap/>
            <w:vAlign w:val="bottom"/>
          </w:tcPr>
          <w:p w14:paraId="28BB9209" w14:textId="77777777" w:rsidR="00000000" w:rsidRDefault="00DB4BBA">
            <w:pPr>
              <w:pStyle w:val="TableText"/>
              <w:ind w:left="57" w:right="0"/>
              <w:rPr>
                <w:lang w:val="en-US"/>
              </w:rPr>
            </w:pPr>
            <w:r>
              <w:rPr>
                <w:lang w:val="en-US"/>
              </w:rPr>
              <w:t>CRC for Irrigation Futures and WaterMark</w:t>
            </w:r>
          </w:p>
        </w:tc>
        <w:tc>
          <w:tcPr>
            <w:tcW w:w="2125" w:type="dxa"/>
            <w:shd w:val="clear" w:color="auto" w:fill="E6E6E6"/>
            <w:noWrap/>
            <w:vAlign w:val="bottom"/>
          </w:tcPr>
          <w:p w14:paraId="3EDE2D60" w14:textId="77777777" w:rsidR="00000000" w:rsidRDefault="00DB4BBA">
            <w:pPr>
              <w:pStyle w:val="TableText"/>
              <w:ind w:left="57" w:right="0"/>
              <w:rPr>
                <w:lang w:val="en-US"/>
              </w:rPr>
            </w:pPr>
            <w:r>
              <w:rPr>
                <w:lang w:val="en-US"/>
              </w:rPr>
              <w:t>Telephone, email</w:t>
            </w:r>
          </w:p>
        </w:tc>
      </w:tr>
      <w:tr w:rsidR="00000000" w14:paraId="75697F55" w14:textId="77777777">
        <w:trPr>
          <w:trHeight w:val="255"/>
        </w:trPr>
        <w:tc>
          <w:tcPr>
            <w:tcW w:w="2410" w:type="dxa"/>
            <w:shd w:val="clear" w:color="auto" w:fill="E6E6E6"/>
            <w:noWrap/>
            <w:vAlign w:val="bottom"/>
          </w:tcPr>
          <w:p w14:paraId="739156D1" w14:textId="77777777" w:rsidR="00000000" w:rsidRDefault="00DB4BBA">
            <w:pPr>
              <w:pStyle w:val="TableText"/>
              <w:ind w:left="57" w:right="0"/>
              <w:rPr>
                <w:lang w:val="en-US"/>
              </w:rPr>
            </w:pPr>
            <w:r>
              <w:rPr>
                <w:lang w:val="en-US"/>
              </w:rPr>
              <w:t>Dr Geoff Connellan</w:t>
            </w:r>
          </w:p>
        </w:tc>
        <w:tc>
          <w:tcPr>
            <w:tcW w:w="2835" w:type="dxa"/>
            <w:shd w:val="clear" w:color="auto" w:fill="E6E6E6"/>
            <w:noWrap/>
            <w:vAlign w:val="bottom"/>
          </w:tcPr>
          <w:p w14:paraId="29BC82A5" w14:textId="77777777" w:rsidR="00000000" w:rsidRDefault="00DB4BBA">
            <w:pPr>
              <w:pStyle w:val="TableText"/>
              <w:ind w:left="57" w:right="0"/>
              <w:rPr>
                <w:lang w:val="en-US"/>
              </w:rPr>
            </w:pPr>
            <w:r>
              <w:rPr>
                <w:lang w:val="en-US"/>
              </w:rPr>
              <w:t>University of Melbourne</w:t>
            </w:r>
          </w:p>
        </w:tc>
        <w:tc>
          <w:tcPr>
            <w:tcW w:w="2125" w:type="dxa"/>
            <w:shd w:val="clear" w:color="auto" w:fill="E6E6E6"/>
            <w:noWrap/>
            <w:vAlign w:val="bottom"/>
          </w:tcPr>
          <w:p w14:paraId="3FECAB04" w14:textId="77777777" w:rsidR="00000000" w:rsidRDefault="00DB4BBA">
            <w:pPr>
              <w:pStyle w:val="TableText"/>
              <w:ind w:left="57" w:right="0"/>
              <w:rPr>
                <w:lang w:val="en-US"/>
              </w:rPr>
            </w:pPr>
            <w:r>
              <w:rPr>
                <w:lang w:val="en-US"/>
              </w:rPr>
              <w:t>Telephone, email</w:t>
            </w:r>
          </w:p>
        </w:tc>
      </w:tr>
      <w:tr w:rsidR="00000000" w14:paraId="4D955C55" w14:textId="77777777">
        <w:trPr>
          <w:trHeight w:val="255"/>
        </w:trPr>
        <w:tc>
          <w:tcPr>
            <w:tcW w:w="2410" w:type="dxa"/>
            <w:shd w:val="clear" w:color="auto" w:fill="E6E6E6"/>
            <w:noWrap/>
            <w:vAlign w:val="bottom"/>
          </w:tcPr>
          <w:p w14:paraId="6B46D9A3" w14:textId="77777777" w:rsidR="00000000" w:rsidRDefault="00DB4BBA">
            <w:pPr>
              <w:pStyle w:val="TableText"/>
              <w:ind w:left="57" w:right="0"/>
              <w:rPr>
                <w:lang w:val="en-US"/>
              </w:rPr>
            </w:pPr>
            <w:r>
              <w:rPr>
                <w:lang w:val="en-US"/>
              </w:rPr>
              <w:t>Robert Aitken</w:t>
            </w:r>
          </w:p>
        </w:tc>
        <w:tc>
          <w:tcPr>
            <w:tcW w:w="2835" w:type="dxa"/>
            <w:shd w:val="clear" w:color="auto" w:fill="E6E6E6"/>
            <w:noWrap/>
            <w:vAlign w:val="bottom"/>
          </w:tcPr>
          <w:p w14:paraId="18182280" w14:textId="77777777" w:rsidR="00000000" w:rsidRDefault="00DB4BBA">
            <w:pPr>
              <w:pStyle w:val="TableText"/>
              <w:ind w:left="57" w:right="0"/>
              <w:rPr>
                <w:lang w:val="en-US"/>
              </w:rPr>
            </w:pPr>
            <w:r>
              <w:rPr>
                <w:lang w:val="en-US"/>
              </w:rPr>
              <w:t>Toro Irrigation</w:t>
            </w:r>
          </w:p>
        </w:tc>
        <w:tc>
          <w:tcPr>
            <w:tcW w:w="2125" w:type="dxa"/>
            <w:shd w:val="clear" w:color="auto" w:fill="E6E6E6"/>
            <w:noWrap/>
            <w:vAlign w:val="bottom"/>
          </w:tcPr>
          <w:p w14:paraId="70F04BB5" w14:textId="77777777" w:rsidR="00000000" w:rsidRDefault="00DB4BBA">
            <w:pPr>
              <w:pStyle w:val="TableText"/>
              <w:ind w:left="57" w:right="0"/>
              <w:rPr>
                <w:lang w:val="en-US"/>
              </w:rPr>
            </w:pPr>
            <w:r>
              <w:rPr>
                <w:lang w:val="en-US"/>
              </w:rPr>
              <w:t>Telephone</w:t>
            </w:r>
          </w:p>
        </w:tc>
      </w:tr>
      <w:tr w:rsidR="00000000" w14:paraId="79A3B58A" w14:textId="77777777">
        <w:trPr>
          <w:trHeight w:val="255"/>
        </w:trPr>
        <w:tc>
          <w:tcPr>
            <w:tcW w:w="2410" w:type="dxa"/>
            <w:shd w:val="clear" w:color="auto" w:fill="E6E6E6"/>
            <w:noWrap/>
            <w:vAlign w:val="bottom"/>
          </w:tcPr>
          <w:p w14:paraId="76041333" w14:textId="77777777" w:rsidR="00000000" w:rsidRDefault="00DB4BBA">
            <w:pPr>
              <w:pStyle w:val="TableText"/>
              <w:ind w:left="57" w:right="0"/>
              <w:rPr>
                <w:lang w:val="en-US"/>
              </w:rPr>
            </w:pPr>
            <w:r>
              <w:rPr>
                <w:lang w:val="en-US"/>
              </w:rPr>
              <w:t>Peter Brunt</w:t>
            </w:r>
          </w:p>
        </w:tc>
        <w:tc>
          <w:tcPr>
            <w:tcW w:w="2835" w:type="dxa"/>
            <w:shd w:val="clear" w:color="auto" w:fill="E6E6E6"/>
            <w:noWrap/>
            <w:vAlign w:val="bottom"/>
          </w:tcPr>
          <w:p w14:paraId="15618211" w14:textId="77777777" w:rsidR="00000000" w:rsidRDefault="00DB4BBA">
            <w:pPr>
              <w:pStyle w:val="TableText"/>
              <w:ind w:left="57" w:right="0"/>
              <w:rPr>
                <w:lang w:val="en-US"/>
              </w:rPr>
            </w:pPr>
            <w:r>
              <w:rPr>
                <w:lang w:val="en-US"/>
              </w:rPr>
              <w:t>Toro Irrigation</w:t>
            </w:r>
          </w:p>
        </w:tc>
        <w:tc>
          <w:tcPr>
            <w:tcW w:w="2125" w:type="dxa"/>
            <w:shd w:val="clear" w:color="auto" w:fill="E6E6E6"/>
            <w:noWrap/>
            <w:vAlign w:val="bottom"/>
          </w:tcPr>
          <w:p w14:paraId="58C78770" w14:textId="77777777" w:rsidR="00000000" w:rsidRDefault="00DB4BBA">
            <w:pPr>
              <w:pStyle w:val="TableText"/>
              <w:ind w:left="57" w:right="0"/>
              <w:rPr>
                <w:lang w:val="en-US"/>
              </w:rPr>
            </w:pPr>
            <w:r>
              <w:rPr>
                <w:lang w:val="en-US"/>
              </w:rPr>
              <w:t>Telephone, email</w:t>
            </w:r>
          </w:p>
        </w:tc>
      </w:tr>
      <w:tr w:rsidR="00000000" w14:paraId="19A6B94A" w14:textId="77777777">
        <w:trPr>
          <w:trHeight w:val="255"/>
        </w:trPr>
        <w:tc>
          <w:tcPr>
            <w:tcW w:w="2410" w:type="dxa"/>
            <w:shd w:val="clear" w:color="auto" w:fill="E6E6E6"/>
            <w:noWrap/>
            <w:vAlign w:val="bottom"/>
          </w:tcPr>
          <w:p w14:paraId="187877E1" w14:textId="77777777" w:rsidR="00000000" w:rsidRDefault="00DB4BBA">
            <w:pPr>
              <w:pStyle w:val="TableText"/>
              <w:ind w:left="57" w:right="0"/>
              <w:rPr>
                <w:lang w:val="en-US"/>
              </w:rPr>
            </w:pPr>
            <w:r>
              <w:rPr>
                <w:lang w:val="en-US"/>
              </w:rPr>
              <w:t>Jeremy Cape</w:t>
            </w:r>
          </w:p>
        </w:tc>
        <w:tc>
          <w:tcPr>
            <w:tcW w:w="2835" w:type="dxa"/>
            <w:shd w:val="clear" w:color="auto" w:fill="E6E6E6"/>
            <w:noWrap/>
            <w:vAlign w:val="bottom"/>
          </w:tcPr>
          <w:p w14:paraId="609BB93F" w14:textId="77777777" w:rsidR="00000000" w:rsidRDefault="00DB4BBA">
            <w:pPr>
              <w:pStyle w:val="TableText"/>
              <w:ind w:left="57" w:right="0"/>
              <w:rPr>
                <w:lang w:val="en-US"/>
              </w:rPr>
            </w:pPr>
            <w:r>
              <w:rPr>
                <w:lang w:val="en-US"/>
              </w:rPr>
              <w:t>Irrigation Australia and CapeAbility Consultants</w:t>
            </w:r>
          </w:p>
        </w:tc>
        <w:tc>
          <w:tcPr>
            <w:tcW w:w="2125" w:type="dxa"/>
            <w:shd w:val="clear" w:color="auto" w:fill="E6E6E6"/>
            <w:noWrap/>
            <w:vAlign w:val="bottom"/>
          </w:tcPr>
          <w:p w14:paraId="511E7CCE" w14:textId="77777777" w:rsidR="00000000" w:rsidRDefault="00DB4BBA">
            <w:pPr>
              <w:pStyle w:val="TableText"/>
              <w:ind w:left="57" w:right="0"/>
              <w:rPr>
                <w:lang w:val="en-US"/>
              </w:rPr>
            </w:pPr>
            <w:r>
              <w:rPr>
                <w:lang w:val="en-US"/>
              </w:rPr>
              <w:t>Email</w:t>
            </w:r>
          </w:p>
        </w:tc>
      </w:tr>
      <w:tr w:rsidR="00000000" w14:paraId="5F3C9AD9" w14:textId="77777777">
        <w:trPr>
          <w:trHeight w:val="255"/>
        </w:trPr>
        <w:tc>
          <w:tcPr>
            <w:tcW w:w="2410" w:type="dxa"/>
            <w:tcBorders>
              <w:bottom w:val="single" w:sz="4" w:space="0" w:color="auto"/>
            </w:tcBorders>
            <w:shd w:val="clear" w:color="auto" w:fill="E6E6E6"/>
            <w:noWrap/>
            <w:vAlign w:val="bottom"/>
          </w:tcPr>
          <w:p w14:paraId="2C1F062E" w14:textId="77777777" w:rsidR="00000000" w:rsidRDefault="00DB4BBA">
            <w:pPr>
              <w:pStyle w:val="TableText"/>
              <w:ind w:left="57" w:right="0"/>
              <w:rPr>
                <w:lang w:val="en-US"/>
              </w:rPr>
            </w:pPr>
            <w:r>
              <w:rPr>
                <w:lang w:val="en-US"/>
              </w:rPr>
              <w:t>Julian Gray</w:t>
            </w:r>
          </w:p>
        </w:tc>
        <w:tc>
          <w:tcPr>
            <w:tcW w:w="2835" w:type="dxa"/>
            <w:tcBorders>
              <w:bottom w:val="single" w:sz="4" w:space="0" w:color="auto"/>
            </w:tcBorders>
            <w:shd w:val="clear" w:color="auto" w:fill="E6E6E6"/>
            <w:noWrap/>
            <w:vAlign w:val="bottom"/>
          </w:tcPr>
          <w:p w14:paraId="3D3CD253" w14:textId="77777777" w:rsidR="00000000" w:rsidRDefault="00DB4BBA">
            <w:pPr>
              <w:pStyle w:val="TableText"/>
              <w:ind w:left="57" w:right="0"/>
              <w:rPr>
                <w:lang w:val="en-US"/>
              </w:rPr>
            </w:pPr>
            <w:r>
              <w:rPr>
                <w:lang w:val="en-US"/>
              </w:rPr>
              <w:t>Water Mark</w:t>
            </w:r>
          </w:p>
        </w:tc>
        <w:tc>
          <w:tcPr>
            <w:tcW w:w="2125" w:type="dxa"/>
            <w:tcBorders>
              <w:bottom w:val="single" w:sz="4" w:space="0" w:color="auto"/>
            </w:tcBorders>
            <w:shd w:val="clear" w:color="auto" w:fill="E6E6E6"/>
            <w:noWrap/>
            <w:vAlign w:val="bottom"/>
          </w:tcPr>
          <w:p w14:paraId="615D9C28" w14:textId="77777777" w:rsidR="00000000" w:rsidRDefault="00DB4BBA">
            <w:pPr>
              <w:pStyle w:val="TableText"/>
              <w:ind w:left="57" w:right="0"/>
              <w:rPr>
                <w:lang w:val="en-US"/>
              </w:rPr>
            </w:pPr>
            <w:r>
              <w:rPr>
                <w:lang w:val="en-US"/>
              </w:rPr>
              <w:t>Telephone</w:t>
            </w:r>
          </w:p>
        </w:tc>
      </w:tr>
    </w:tbl>
    <w:p w14:paraId="330D5B63" w14:textId="77777777" w:rsidR="00000000" w:rsidRDefault="00DB4BBA">
      <w:pPr>
        <w:pStyle w:val="TableSource"/>
      </w:pPr>
      <w:r>
        <w:t>Source: (Allen Consulting Group)</w:t>
      </w:r>
    </w:p>
    <w:p w14:paraId="2277B5AA" w14:textId="77777777" w:rsidR="00000000" w:rsidRDefault="00DB4BBA">
      <w:pPr>
        <w:pStyle w:val="Text"/>
      </w:pPr>
    </w:p>
    <w:p w14:paraId="65810649" w14:textId="77777777" w:rsidR="00000000" w:rsidRDefault="00DB4BBA">
      <w:pPr>
        <w:pStyle w:val="Heading1"/>
      </w:pPr>
      <w:bookmarkStart w:id="31" w:name="_Toc118523887"/>
      <w:bookmarkEnd w:id="31"/>
    </w:p>
    <w:p w14:paraId="21DAFBF5" w14:textId="77777777" w:rsidR="00000000" w:rsidRDefault="00DB4BBA">
      <w:pPr>
        <w:pStyle w:val="Heading2"/>
      </w:pPr>
      <w:bookmarkStart w:id="32" w:name="_Toc118523888"/>
      <w:r>
        <w:t>The nature and extent of the problem</w:t>
      </w:r>
      <w:bookmarkEnd w:id="32"/>
    </w:p>
    <w:p w14:paraId="6900ACE2" w14:textId="77777777" w:rsidR="00000000" w:rsidRDefault="00DB4BBA">
      <w:pPr>
        <w:pStyle w:val="Text"/>
        <w:rPr>
          <w:lang w:val="en-GB"/>
        </w:rPr>
      </w:pPr>
      <w:r>
        <w:rPr>
          <w:lang w:val="en-GB"/>
        </w:rPr>
        <w:t xml:space="preserve">Best practice regulation aims to address failures pertaining to market outcomes at minimum cost to consumers and industry. </w:t>
      </w:r>
    </w:p>
    <w:p w14:paraId="59F553DC" w14:textId="77777777" w:rsidR="00000000" w:rsidRDefault="00DB4BBA">
      <w:pPr>
        <w:pStyle w:val="Text"/>
        <w:rPr>
          <w:lang w:val="en-GB"/>
        </w:rPr>
      </w:pPr>
      <w:r>
        <w:rPr>
          <w:lang w:val="en-GB"/>
        </w:rPr>
        <w:t>In order to make a case for government intervention, it must first be established what problem the proposed regulations are seeking to address. This is necessary in order to develop options (whether regulatory or not) that can directly address the problem,</w:t>
      </w:r>
      <w:r>
        <w:rPr>
          <w:lang w:val="en-GB"/>
        </w:rPr>
        <w:t xml:space="preserve"> and establish an objective framework within which the relative performance of options can be compared. </w:t>
      </w:r>
    </w:p>
    <w:p w14:paraId="339EFF22" w14:textId="77777777" w:rsidR="00000000" w:rsidRDefault="00DB4BBA">
      <w:pPr>
        <w:pStyle w:val="Text"/>
        <w:rPr>
          <w:lang w:val="en-GB"/>
        </w:rPr>
      </w:pPr>
      <w:r>
        <w:rPr>
          <w:lang w:val="en-GB"/>
        </w:rPr>
        <w:t>This chapter considers the extent to which there is a need for government intervention to reduce water consumption in the residential sector related to</w:t>
      </w:r>
      <w:r>
        <w:rPr>
          <w:lang w:val="en-GB"/>
        </w:rPr>
        <w:t xml:space="preserve"> domestic irrigation controllers. This assessment finds that:</w:t>
      </w:r>
    </w:p>
    <w:p w14:paraId="75AE7784" w14:textId="77777777" w:rsidR="00000000" w:rsidRDefault="00DB4BBA">
      <w:pPr>
        <w:pStyle w:val="TextDotPoint"/>
        <w:rPr>
          <w:lang w:val="en-GB"/>
        </w:rPr>
      </w:pPr>
      <w:r>
        <w:rPr>
          <w:lang w:val="en-GB"/>
        </w:rPr>
        <w:t xml:space="preserve">water management is a priority in Australia, across all levels of government; </w:t>
      </w:r>
    </w:p>
    <w:p w14:paraId="412BFDB0" w14:textId="77777777" w:rsidR="00000000" w:rsidRDefault="00DB4BBA">
      <w:pPr>
        <w:pStyle w:val="TextDotPoint"/>
        <w:rPr>
          <w:lang w:val="en-GB"/>
        </w:rPr>
      </w:pPr>
      <w:r>
        <w:rPr>
          <w:lang w:val="en-GB"/>
        </w:rPr>
        <w:t>allowing variations in price to clear the market for water is problematic since water prices tend not to reflec</w:t>
      </w:r>
      <w:r>
        <w:rPr>
          <w:lang w:val="en-GB"/>
        </w:rPr>
        <w:t>t water scarcity, or the value that users place on water availability;</w:t>
      </w:r>
    </w:p>
    <w:p w14:paraId="4FB010CB" w14:textId="77777777" w:rsidR="00000000" w:rsidRDefault="00DB4BBA">
      <w:pPr>
        <w:pStyle w:val="TextDotPoint"/>
        <w:rPr>
          <w:lang w:val="en-GB"/>
        </w:rPr>
      </w:pPr>
      <w:r>
        <w:rPr>
          <w:lang w:val="en-GB"/>
        </w:rPr>
        <w:t>water restrictions are a costly method of responding to ‘excess’ demand;</w:t>
      </w:r>
    </w:p>
    <w:p w14:paraId="30811D01" w14:textId="77777777" w:rsidR="00000000" w:rsidRDefault="00DB4BBA">
      <w:pPr>
        <w:pStyle w:val="TextDotPoint"/>
        <w:rPr>
          <w:lang w:val="en-GB"/>
        </w:rPr>
      </w:pPr>
      <w:r>
        <w:rPr>
          <w:lang w:val="en-GB"/>
        </w:rPr>
        <w:t>there are a number of water efficient and water saving products that can reduce household demand for water w</w:t>
      </w:r>
      <w:r>
        <w:rPr>
          <w:lang w:val="en-GB"/>
        </w:rPr>
        <w:t>ithout adversely affecting social welfare or household utility in the way that quantitative restrictions do; and</w:t>
      </w:r>
    </w:p>
    <w:p w14:paraId="6442805C" w14:textId="77777777" w:rsidR="00000000" w:rsidRDefault="00DB4BBA">
      <w:pPr>
        <w:pStyle w:val="TextDotPoint"/>
        <w:rPr>
          <w:lang w:val="en-GB"/>
        </w:rPr>
      </w:pPr>
      <w:r>
        <w:rPr>
          <w:lang w:val="en-GB"/>
        </w:rPr>
        <w:t>uptake in the sale and installation of these water efficient and water saving products is affected by a range of market failures.</w:t>
      </w:r>
    </w:p>
    <w:p w14:paraId="664330D2" w14:textId="77777777" w:rsidR="00000000" w:rsidRDefault="00DB4BBA">
      <w:pPr>
        <w:pStyle w:val="Text"/>
        <w:rPr>
          <w:lang w:val="en-GB"/>
        </w:rPr>
      </w:pPr>
      <w:r>
        <w:rPr>
          <w:lang w:val="en-GB"/>
        </w:rPr>
        <w:t>It also fin</w:t>
      </w:r>
      <w:r>
        <w:rPr>
          <w:lang w:val="en-GB"/>
        </w:rPr>
        <w:t xml:space="preserve">ds that some domestic irrigation controllers could provide water savings if used and fitted properly. However, these savings are largely dependent on the operator being educated on the appropriate use of the model (i.e. how and when the product is used as </w:t>
      </w:r>
      <w:r>
        <w:rPr>
          <w:lang w:val="en-GB"/>
        </w:rPr>
        <w:t>part of the irrigation system) and also the inherent features and sophistication of the model itself. As such, there is no way to meaningfully regulate the water efficiency of domestic irrigation controllers.</w:t>
      </w:r>
    </w:p>
    <w:p w14:paraId="3AB4DB9B" w14:textId="77777777" w:rsidR="00000000" w:rsidRDefault="00DB4BBA">
      <w:pPr>
        <w:pStyle w:val="Heading3"/>
        <w:numPr>
          <w:ilvl w:val="2"/>
          <w:numId w:val="14"/>
        </w:numPr>
        <w:rPr>
          <w:lang w:val="en-GB"/>
        </w:rPr>
      </w:pPr>
      <w:bookmarkStart w:id="33" w:name="_Toc113413070"/>
      <w:bookmarkStart w:id="34" w:name="_Toc115836304"/>
      <w:bookmarkStart w:id="35" w:name="_Toc118523889"/>
      <w:r>
        <w:rPr>
          <w:lang w:val="en-GB"/>
        </w:rPr>
        <w:t xml:space="preserve">The </w:t>
      </w:r>
      <w:r>
        <w:rPr>
          <w:lang w:val="en-GB"/>
        </w:rPr>
        <w:t>market for water</w:t>
      </w:r>
      <w:bookmarkEnd w:id="33"/>
      <w:bookmarkEnd w:id="34"/>
      <w:bookmarkEnd w:id="35"/>
    </w:p>
    <w:p w14:paraId="475991B0" w14:textId="77777777" w:rsidR="00000000" w:rsidRDefault="00DB4BBA">
      <w:pPr>
        <w:pStyle w:val="Text"/>
        <w:rPr>
          <w:rFonts w:cs="ArialMT"/>
          <w:szCs w:val="22"/>
          <w:lang w:val="en-US"/>
        </w:rPr>
      </w:pPr>
      <w:r>
        <w:rPr>
          <w:rFonts w:cs="ArialMT"/>
          <w:szCs w:val="22"/>
          <w:lang w:val="en-US"/>
        </w:rPr>
        <w:t>Drought conditions in many areas of Australia over the past several years, combined with the prospect that future climatic conditions could lower further water availability, have led to renewed intere</w:t>
      </w:r>
      <w:r>
        <w:rPr>
          <w:rFonts w:cs="ArialMT"/>
          <w:szCs w:val="22"/>
          <w:lang w:val="en-US"/>
        </w:rPr>
        <w:t xml:space="preserve">st in the way residential water is managed. </w:t>
      </w:r>
    </w:p>
    <w:p w14:paraId="5236F89C" w14:textId="77777777" w:rsidR="00000000" w:rsidRDefault="00DB4BBA">
      <w:pPr>
        <w:pStyle w:val="Text"/>
      </w:pPr>
      <w:r>
        <w:rPr>
          <w:rFonts w:cs="ArialMT"/>
          <w:szCs w:val="22"/>
          <w:lang w:val="en-US"/>
        </w:rPr>
        <w:t xml:space="preserve">In the current market for residential water, governments operate as planners, suppliers, distributors and retailers of water. They make supply investments and manage available water with limited knowledge about </w:t>
      </w:r>
      <w:r>
        <w:rPr>
          <w:rFonts w:cs="ArialMT"/>
          <w:szCs w:val="22"/>
          <w:lang w:val="en-US"/>
        </w:rPr>
        <w:t xml:space="preserve">the value that some users place on the resource. </w:t>
      </w:r>
    </w:p>
    <w:p w14:paraId="21EC5330" w14:textId="77777777" w:rsidR="00000000" w:rsidRDefault="00DB4BBA">
      <w:pPr>
        <w:pStyle w:val="Text"/>
      </w:pPr>
      <w:r>
        <w:lastRenderedPageBreak/>
        <w:t>On the demand side, water is essential for wellbeing, and is an input into almost all activities — economic, social and environmental. Given this, demand for water is closely linked to population growth, an</w:t>
      </w:r>
      <w:r>
        <w:t>d the sustainability of cities in the long run hinges critically on access to suitable water. On the supply side, the prolonged drought, the uncertainty inherent in climate change, and the network of catchments, dams and ground and surface water sources al</w:t>
      </w:r>
      <w:r>
        <w:t xml:space="preserve">l affect the extent to which this growing demand can be met, and at what cost. </w:t>
      </w:r>
    </w:p>
    <w:p w14:paraId="02401C1A" w14:textId="77777777" w:rsidR="00000000" w:rsidRDefault="00DB4BBA">
      <w:pPr>
        <w:pStyle w:val="Text"/>
      </w:pPr>
      <w:r>
        <w:t>Key problems with the water market include:</w:t>
      </w:r>
    </w:p>
    <w:p w14:paraId="7082C5BE" w14:textId="77777777" w:rsidR="00000000" w:rsidRDefault="00DB4BBA">
      <w:pPr>
        <w:pStyle w:val="TextDotPoint"/>
      </w:pPr>
      <w:r>
        <w:t>the costs generated by infrastructure investments that augment supply (eg. water recycling, desalination plants, additional or lar</w:t>
      </w:r>
      <w:r>
        <w:t>ger catchment and storage facilities) are independent of supply conditions;</w:t>
      </w:r>
    </w:p>
    <w:p w14:paraId="63E901FC" w14:textId="77777777" w:rsidR="00000000" w:rsidRDefault="00DB4BBA">
      <w:pPr>
        <w:pStyle w:val="TextDotPoint"/>
      </w:pPr>
      <w:r>
        <w:t xml:space="preserve">the pricing of water is based on operating costs and a return on assets and, as such, does not reflect the scarcity of water in times of shortage; and </w:t>
      </w:r>
    </w:p>
    <w:p w14:paraId="7CFE09F8" w14:textId="77777777" w:rsidR="00000000" w:rsidRDefault="00DB4BBA">
      <w:pPr>
        <w:pStyle w:val="TextDotPoint"/>
      </w:pPr>
      <w:r>
        <w:t>water markets are not well developed or responsive to demand conditions — particularly in urban areas:</w:t>
      </w:r>
    </w:p>
    <w:p w14:paraId="38D15EBD" w14:textId="77777777" w:rsidR="00000000" w:rsidRDefault="00DB4BBA">
      <w:pPr>
        <w:pStyle w:val="TextDashPoint"/>
      </w:pPr>
      <w:r>
        <w:t xml:space="preserve">a recent survey of relevant econometric studies by the Australian Bureau of Agriculture and Resource Economics </w:t>
      </w:r>
      <w:r>
        <w:fldChar w:fldCharType="begin"/>
      </w:r>
      <w:r>
        <w:instrText xml:space="preserve"> ADDIN EN.CITE &lt;EndNote&gt;&lt;Cite ExcludeAu</w:instrText>
      </w:r>
      <w:r>
        <w:instrText>th="1"&gt;&lt;Author&gt;Australian Bureau of Agricultural and Resource Economics&lt;/Author&gt;&lt;Year&gt;2008&lt;/Year&gt;&lt;RecNum&gt;85&lt;/RecNum&gt;&lt;record&gt;&lt;rec-number&gt;85&lt;/rec-number&gt;&lt;foreign-keys&gt;&lt;key app="EN" db-id="50s0sw00tv5rvlessrsvpfd52f0zefprpafd"&gt;85&lt;/key&gt;&lt;/foreign-keys&gt;&lt;ref-type</w:instrText>
      </w:r>
      <w:r>
        <w:instrText xml:space="preserve"> name="Web Page"&gt;12&lt;/ref-type&gt;&lt;contributors&gt;&lt;authors&gt;&lt;author&gt;Australian Bureau of Agricultural and Resource Economics,&lt;/author&gt;&lt;/authors&gt;&lt;/contributors&gt;&lt;titles&gt;&lt;title&gt;Urban Water Management: Optimal Price and Investment Policy Under Climate Variability &lt;/t</w:instrText>
      </w:r>
      <w:r>
        <w:instrText>itle&gt;&lt;/titles&gt;&lt;volume&gt;2009&lt;/volume&gt;&lt;number&gt;1 May &lt;/number&gt;&lt;dates&gt;&lt;year&gt;2008&lt;/year&gt;&lt;/dates&gt;&lt;urls&gt;&lt;related-urls&gt;&lt;url&gt;http://www.abareconomics.com/interactive/08_ResearchReports/Urbanwater/htm/chapter_2.htm&lt;/url&gt;&lt;/related-urls&gt;&lt;/urls&gt;&lt;/record&gt;&lt;/Cite&gt;&lt;/EndNote</w:instrText>
      </w:r>
      <w:r>
        <w:instrText>&gt;</w:instrText>
      </w:r>
      <w:r>
        <w:fldChar w:fldCharType="separate"/>
      </w:r>
      <w:r>
        <w:t>(2008)</w:t>
      </w:r>
      <w:r>
        <w:fldChar w:fldCharType="end"/>
      </w:r>
      <w:r>
        <w:t xml:space="preserve"> shows price elasticities for residential water in Australia range from minus 0.15 (very unresponsive to price variations) in the ACT to minus 0.94 (relatively unresponsive to price variations) in Perth; and</w:t>
      </w:r>
    </w:p>
    <w:p w14:paraId="532C4503" w14:textId="77777777" w:rsidR="00000000" w:rsidRDefault="00DB4BBA">
      <w:pPr>
        <w:pStyle w:val="TextDashPoint"/>
      </w:pPr>
      <w:r>
        <w:t xml:space="preserve"> NSW’</w:t>
      </w:r>
      <w:r>
        <w:t>s Independent Pricing and Regulatory Tribunal argues that ‘the demand for residential water is so inelastic that the price could be subject to wide gyrations if it were the sole means of balancing supply and demand in a drought’ — something that could lead</w:t>
      </w:r>
      <w:r>
        <w:t xml:space="preserve"> to adverse outcomes in lower income households.</w:t>
      </w:r>
    </w:p>
    <w:p w14:paraId="64606173" w14:textId="77777777" w:rsidR="00000000" w:rsidRDefault="00DB4BBA">
      <w:pPr>
        <w:pStyle w:val="Text"/>
        <w:rPr>
          <w:rFonts w:cs="ArialMT"/>
          <w:szCs w:val="22"/>
          <w:lang w:val="en-US"/>
        </w:rPr>
      </w:pPr>
      <w:r>
        <w:rPr>
          <w:rFonts w:cs="ArialMT"/>
          <w:szCs w:val="22"/>
          <w:lang w:val="en-US"/>
        </w:rPr>
        <w:t>Instead of using price to manage demand for water, demand is managed by placing restrictions on water usage. For the past six years the majority of Australian urban centers have experienced water restriction</w:t>
      </w:r>
      <w:r>
        <w:rPr>
          <w:rFonts w:cs="ArialMT"/>
          <w:szCs w:val="22"/>
          <w:lang w:val="en-US"/>
        </w:rPr>
        <w:t xml:space="preserve">s </w:t>
      </w:r>
      <w:r>
        <w:rPr>
          <w:rFonts w:cs="ArialMT"/>
          <w:szCs w:val="22"/>
          <w:lang w:val="en-US"/>
        </w:rPr>
        <w:fldChar w:fldCharType="begin"/>
      </w:r>
      <w:r>
        <w:rPr>
          <w:rFonts w:cs="ArialMT"/>
          <w:szCs w:val="22"/>
          <w:lang w:val="en-US"/>
        </w:rPr>
        <w:instrText xml:space="preserve"> ADDIN EN.CITE &lt;EndNote&gt;&lt;Cite&gt;&lt;Author&gt;Water Services Association of Australia&lt;/Author&gt;&lt;Year&gt;2009&lt;/Year&gt;&lt;RecNum&gt;87&lt;/RecNum&gt;&lt;record&gt;&lt;rec-number&gt;87&lt;/rec-number&gt;&lt;foreign-keys&gt;&lt;key app="EN" db-id="50s0sw00tv5rvlessrsvpfd52f0zefprpafd"&gt;87&lt;/key&gt;&lt;/foreign-keys&gt;&lt;</w:instrText>
      </w:r>
      <w:r>
        <w:rPr>
          <w:rFonts w:cs="ArialMT"/>
          <w:szCs w:val="22"/>
          <w:lang w:val="en-US"/>
        </w:rPr>
        <w:instrText>ref-type name="Web Page"&gt;12&lt;/ref-type&gt;&lt;contributors&gt;&lt;authors&gt;&lt;author&gt;Water Services Association of Australia,&lt;/author&gt;&lt;/authors&gt;&lt;/contributors&gt;&lt;titles&gt;&lt;title&gt;Water restrictions and storage - March 2009&lt;/title&gt;&lt;/titles&gt;&lt;volume&gt;2009&lt;/volume&gt;&lt;number&gt;11 May&lt;/n</w:instrText>
      </w:r>
      <w:r>
        <w:rPr>
          <w:rFonts w:cs="ArialMT"/>
          <w:szCs w:val="22"/>
          <w:lang w:val="en-US"/>
        </w:rPr>
        <w:instrText>umber&gt;&lt;dates&gt;&lt;year&gt;2009&lt;/year&gt;&lt;/dates&gt;&lt;urls&gt;&lt;related-urls&gt;&lt;url&gt;https://www.wsaa.asn.au/Media/Facts/StorageLevels/Total%20Water%20Storages%20and%20Restrictions%20as%20at%20end%20March%202009.pdf&lt;/url&gt;&lt;/related-urls&gt;&lt;/urls&gt;&lt;/record&gt;&lt;/Cite&gt;&lt;Cite&gt;&lt;Author&gt;Busin</w:instrText>
      </w:r>
      <w:r>
        <w:rPr>
          <w:rFonts w:cs="ArialMT"/>
          <w:szCs w:val="22"/>
          <w:lang w:val="en-US"/>
        </w:rPr>
        <w:instrText>ess Council of Australia&lt;/Author&gt;&lt;Year&gt;2006&lt;/Year&gt;&lt;RecNum&gt;88&lt;/RecNum&gt;&lt;record&gt;&lt;rec-number&gt;88&lt;/rec-number&gt;&lt;foreign-keys&gt;&lt;key app="EN" db-id="50s0sw00tv5rvlessrsvpfd52f0zefprpafd"&gt;88&lt;/key&gt;&lt;/foreign-keys&gt;&lt;ref-type name="Web Page"&gt;12&lt;/ref-type&gt;&lt;contributors&gt;&lt;au</w:instrText>
      </w:r>
      <w:r>
        <w:rPr>
          <w:rFonts w:cs="ArialMT"/>
          <w:szCs w:val="22"/>
          <w:lang w:val="en-US"/>
        </w:rPr>
        <w:instrText>thors&gt;&lt;author&gt;Business Council of Australia,&lt;/author&gt;&lt;/authors&gt;&lt;/contributors&gt;&lt;titles&gt;&lt;title&gt;Water Under Pressure: Australia&amp;apos;s Man-Made Water Scarcity And How To Fix It&lt;/title&gt;&lt;/titles&gt;&lt;volume&gt;2009&lt;/volume&gt;&lt;number&gt;11 May&lt;/number&gt;&lt;dates&gt;&lt;year&gt;2006&lt;/yea</w:instrText>
      </w:r>
      <w:r>
        <w:rPr>
          <w:rFonts w:cs="ArialMT"/>
          <w:szCs w:val="22"/>
          <w:lang w:val="en-US"/>
        </w:rPr>
        <w:instrText>r&gt;&lt;/dates&gt;&lt;urls&gt;&lt;related-urls&gt;&lt;url&gt;www.bca.com.au/DisplayFile.aspx?FileID=168&lt;/url&gt;&lt;/related-urls&gt;&lt;/urls&gt;&lt;/record&gt;&lt;/Cite&gt;&lt;/EndNote&gt;</w:instrText>
      </w:r>
      <w:r>
        <w:rPr>
          <w:rFonts w:cs="ArialMT"/>
          <w:szCs w:val="22"/>
          <w:lang w:val="en-US"/>
        </w:rPr>
        <w:fldChar w:fldCharType="separate"/>
      </w:r>
      <w:r>
        <w:rPr>
          <w:rFonts w:cs="ArialMT"/>
          <w:szCs w:val="22"/>
          <w:lang w:val="en-US"/>
        </w:rPr>
        <w:t>(Business Council of Australia 2006; Water Services Association of Australia 2009)</w:t>
      </w:r>
      <w:r>
        <w:rPr>
          <w:rFonts w:cs="ArialMT"/>
          <w:szCs w:val="22"/>
          <w:lang w:val="en-US"/>
        </w:rPr>
        <w:fldChar w:fldCharType="end"/>
      </w:r>
      <w:r>
        <w:rPr>
          <w:rFonts w:cs="ArialMT"/>
          <w:szCs w:val="22"/>
          <w:lang w:val="en-US"/>
        </w:rPr>
        <w:t xml:space="preserve">. These have been effective in reducing </w:t>
      </w:r>
      <w:r>
        <w:rPr>
          <w:rFonts w:cs="ArialMT"/>
          <w:szCs w:val="22"/>
          <w:lang w:val="en-US"/>
        </w:rPr>
        <w:t xml:space="preserve">total and per capita water usage. </w:t>
      </w:r>
      <w:r>
        <w:rPr>
          <w:rFonts w:cs="ArialMT"/>
          <w:szCs w:val="22"/>
          <w:lang w:val="en-US"/>
        </w:rPr>
        <w:fldChar w:fldCharType="begin"/>
      </w:r>
      <w:r>
        <w:rPr>
          <w:rFonts w:cs="ArialMT"/>
          <w:szCs w:val="22"/>
          <w:lang w:val="en-US"/>
        </w:rPr>
        <w:instrText xml:space="preserve"> REF _Ref103143911 \n \h </w:instrText>
      </w:r>
      <w:r>
        <w:rPr>
          <w:rFonts w:cs="ArialMT"/>
          <w:szCs w:val="22"/>
          <w:lang w:val="en-US"/>
        </w:rPr>
      </w:r>
      <w:r>
        <w:rPr>
          <w:rFonts w:cs="ArialMT"/>
          <w:szCs w:val="22"/>
          <w:lang w:val="en-US"/>
        </w:rPr>
        <w:fldChar w:fldCharType="separate"/>
      </w:r>
      <w:r>
        <w:rPr>
          <w:rFonts w:cs="ArialMT"/>
          <w:szCs w:val="22"/>
          <w:lang w:val="en-US"/>
        </w:rPr>
        <w:t>Figure 4.1</w:t>
      </w:r>
      <w:r>
        <w:rPr>
          <w:rFonts w:cs="ArialMT"/>
          <w:szCs w:val="22"/>
          <w:lang w:val="en-US"/>
        </w:rPr>
        <w:fldChar w:fldCharType="end"/>
      </w:r>
      <w:r>
        <w:rPr>
          <w:rFonts w:cs="ArialMT"/>
          <w:szCs w:val="22"/>
          <w:lang w:val="en-US"/>
        </w:rPr>
        <w:t xml:space="preserve"> indicates that</w:t>
      </w:r>
      <w:r>
        <w:rPr>
          <w:rFonts w:cs="Helvetica"/>
          <w:szCs w:val="18"/>
          <w:lang w:val="en-US"/>
        </w:rPr>
        <w:t xml:space="preserve"> total residential water supplied has decreased by 21 per cent since 2002–03. This is despite, over the </w:t>
      </w:r>
      <w:r>
        <w:rPr>
          <w:rFonts w:cs="Helvetica"/>
          <w:szCs w:val="18"/>
          <w:lang w:val="en-US"/>
        </w:rPr>
        <w:t>same time period, the number of connected properties growing by 9 per cent, or around 500,000 properties. These figures imply that the average volume of water supplied to residential customers by those utilities has fallen by 37 per cent in six years (Nati</w:t>
      </w:r>
      <w:r>
        <w:rPr>
          <w:rFonts w:cs="Helvetica"/>
          <w:szCs w:val="18"/>
          <w:lang w:val="en-US"/>
        </w:rPr>
        <w:t>onal Water Commission and Water Services Association of Australia 2009).</w:t>
      </w:r>
    </w:p>
    <w:p w14:paraId="60875F0E" w14:textId="77777777" w:rsidR="00000000" w:rsidRDefault="00DB4BBA">
      <w:pPr>
        <w:pStyle w:val="Heading6"/>
        <w:numPr>
          <w:ilvl w:val="5"/>
          <w:numId w:val="18"/>
        </w:numPr>
      </w:pPr>
      <w:bookmarkStart w:id="36" w:name="_Ref103143911"/>
    </w:p>
    <w:bookmarkEnd w:id="36"/>
    <w:p w14:paraId="4456739A" w14:textId="77777777" w:rsidR="00000000" w:rsidRDefault="00DB4BBA">
      <w:pPr>
        <w:pStyle w:val="TableTitle"/>
      </w:pPr>
      <w:r>
        <w:t xml:space="preserve">volume of residential water supplied (GL) </w:t>
      </w:r>
    </w:p>
    <w:p w14:paraId="439DBAC7" w14:textId="70514A73" w:rsidR="00000000" w:rsidRDefault="00DB4BBA">
      <w:pPr>
        <w:pStyle w:val="TableText"/>
      </w:pPr>
      <w:r>
        <w:rPr>
          <w:noProof/>
          <w:lang w:eastAsia="en-AU"/>
        </w:rPr>
        <w:drawing>
          <wp:inline distT="0" distB="0" distL="0" distR="0" wp14:anchorId="5CB929A2" wp14:editId="60F9F5A3">
            <wp:extent cx="4657725" cy="1714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57725" cy="1714500"/>
                    </a:xfrm>
                    <a:prstGeom prst="rect">
                      <a:avLst/>
                    </a:prstGeom>
                    <a:noFill/>
                    <a:ln>
                      <a:noFill/>
                    </a:ln>
                  </pic:spPr>
                </pic:pic>
              </a:graphicData>
            </a:graphic>
          </wp:inline>
        </w:drawing>
      </w:r>
    </w:p>
    <w:p w14:paraId="15134A59" w14:textId="77777777" w:rsidR="00000000" w:rsidRDefault="00DB4BBA">
      <w:pPr>
        <w:pStyle w:val="TableSource"/>
        <w:jc w:val="left"/>
      </w:pPr>
      <w:r>
        <w:t xml:space="preserve">Source:  </w:t>
      </w:r>
      <w:r>
        <w:fldChar w:fldCharType="begin"/>
      </w:r>
      <w:r>
        <w:instrText xml:space="preserve"> ADDIN EN.CITE &lt;EndNote&gt;&lt;</w:instrText>
      </w:r>
      <w:r>
        <w:instrText>Cite&gt;&lt;Author&gt;National Water Commission&lt;/Author&gt;&lt;Year&gt;2009&lt;/Year&gt;&lt;RecNum&gt;106&lt;/RecNum&gt;&lt;Pages&gt;18&lt;/Pages&gt;&lt;record&gt;&lt;rec-number&gt;106&lt;/rec-number&gt;&lt;foreign-keys&gt;&lt;key app="EN" db-id="50s0sw00tv5rvlessrsvpfd52f0zefprpafd"&gt;106&lt;/key&gt;&lt;/foreign-keys&gt;&lt;ref-type name="Book"&gt;</w:instrText>
      </w:r>
      <w:r>
        <w:instrText>6&lt;/ref-type&gt;&lt;contributors&gt;&lt;authors&gt;&lt;author&gt;National Water Commission,&lt;/author&gt;&lt;author&gt;Water Services Association of Australia,&lt;/author&gt;&lt;/authors&gt;&lt;/contributors&gt;&lt;titles&gt;&lt;title&gt;National Performance Report 2007-08: Residential water utilities &lt;/title&gt;&lt;/titles</w:instrText>
      </w:r>
      <w:r>
        <w:instrText>&gt;&lt;dates&gt;&lt;year&gt;2009&lt;/year&gt;&lt;/dates&gt;&lt;pub-location&gt;Canberra&lt;/pub-location&gt;&lt;urls&gt;&lt;/urls&gt;&lt;/record&gt;&lt;/Cite&gt;&lt;/EndNote&gt;</w:instrText>
      </w:r>
      <w:r>
        <w:fldChar w:fldCharType="separate"/>
      </w:r>
      <w:r>
        <w:t>(National Water Commission and Water Services Association of Australia 2009)</w:t>
      </w:r>
      <w:r>
        <w:fldChar w:fldCharType="end"/>
      </w:r>
      <w:r>
        <w:br/>
        <w:t xml:space="preserve">Note: The National Water Commission and Water Services Association </w:t>
      </w:r>
      <w:r>
        <w:t xml:space="preserve">of Australia do not identify from which utilities the above data are drawn, except to note that they originate from utilities that accounted for 80 per cent of residential water supplied in 2007-08. </w:t>
      </w:r>
    </w:p>
    <w:p w14:paraId="2017FAF2" w14:textId="77777777" w:rsidR="00000000" w:rsidRDefault="00DB4BBA">
      <w:pPr>
        <w:pStyle w:val="Text"/>
        <w:rPr>
          <w:rFonts w:cs="ArialMT"/>
          <w:szCs w:val="22"/>
          <w:lang w:val="en-US"/>
        </w:rPr>
      </w:pPr>
      <w:r>
        <w:rPr>
          <w:rFonts w:cs="ArialMT"/>
          <w:szCs w:val="22"/>
          <w:lang w:val="en-US"/>
        </w:rPr>
        <w:t>While water restrictions have been effective in reducing</w:t>
      </w:r>
      <w:r>
        <w:rPr>
          <w:rFonts w:cs="ArialMT"/>
          <w:szCs w:val="22"/>
          <w:lang w:val="en-US"/>
        </w:rPr>
        <w:t xml:space="preserve"> water consumption in times of scarcity, they come at a considerable cost to the community. Several studies estimated the economic cost of water restrictions for different Australian cities. The findings from these studies are presented in </w:t>
      </w:r>
      <w:r>
        <w:rPr>
          <w:rFonts w:cs="ArialMT"/>
          <w:szCs w:val="22"/>
          <w:lang w:val="en-US"/>
        </w:rPr>
        <w:fldChar w:fldCharType="begin"/>
      </w:r>
      <w:r>
        <w:rPr>
          <w:rFonts w:cs="ArialMT"/>
          <w:szCs w:val="22"/>
          <w:lang w:val="en-US"/>
        </w:rPr>
        <w:instrText xml:space="preserve"> REF _Ref1031476</w:instrText>
      </w:r>
      <w:r>
        <w:rPr>
          <w:rFonts w:cs="ArialMT"/>
          <w:szCs w:val="22"/>
          <w:lang w:val="en-US"/>
        </w:rPr>
        <w:instrText xml:space="preserve">52 \n \h </w:instrText>
      </w:r>
      <w:r>
        <w:rPr>
          <w:rFonts w:cs="ArialMT"/>
          <w:szCs w:val="22"/>
          <w:lang w:val="en-US"/>
        </w:rPr>
      </w:r>
      <w:r>
        <w:rPr>
          <w:rFonts w:cs="ArialMT"/>
          <w:szCs w:val="22"/>
          <w:lang w:val="en-US"/>
        </w:rPr>
        <w:fldChar w:fldCharType="separate"/>
      </w:r>
      <w:r>
        <w:rPr>
          <w:rFonts w:cs="ArialMT"/>
          <w:szCs w:val="22"/>
          <w:lang w:val="en-US"/>
        </w:rPr>
        <w:t>Box 4.1</w:t>
      </w:r>
      <w:r>
        <w:rPr>
          <w:rFonts w:cs="ArialMT"/>
          <w:szCs w:val="22"/>
          <w:lang w:val="en-US"/>
        </w:rPr>
        <w:fldChar w:fldCharType="end"/>
      </w:r>
      <w:r>
        <w:rPr>
          <w:rFonts w:cs="ArialMT"/>
          <w:szCs w:val="22"/>
          <w:lang w:val="en-US"/>
        </w:rPr>
        <w:t>. Due to the differences used to develop these estimates it is not appropriate to compare them directly. However, they do suggest that economic costs increase with the seve</w:t>
      </w:r>
      <w:r>
        <w:rPr>
          <w:rFonts w:cs="ArialMT"/>
          <w:szCs w:val="22"/>
          <w:lang w:val="en-US"/>
        </w:rPr>
        <w:t>rity of the restriction. It should also be noted that none of these studies include all of the potential costs of water restrictions, such as:</w:t>
      </w:r>
    </w:p>
    <w:p w14:paraId="5302DBBF" w14:textId="77777777" w:rsidR="00000000" w:rsidRDefault="00DB4BBA">
      <w:pPr>
        <w:pStyle w:val="TextDotPoint"/>
        <w:rPr>
          <w:rFonts w:cs="ArialMT"/>
          <w:szCs w:val="22"/>
          <w:lang w:val="en-US"/>
        </w:rPr>
      </w:pPr>
      <w:r>
        <w:rPr>
          <w:rFonts w:cs="ArialMT"/>
          <w:szCs w:val="22"/>
          <w:lang w:val="en-US"/>
        </w:rPr>
        <w:t>the deterioration of lawns and gardens, which have a replacement cost;</w:t>
      </w:r>
    </w:p>
    <w:p w14:paraId="2FB51351" w14:textId="77777777" w:rsidR="00000000" w:rsidRDefault="00DB4BBA">
      <w:pPr>
        <w:pStyle w:val="TextDotPoint"/>
        <w:rPr>
          <w:rFonts w:cs="ArialMT"/>
          <w:szCs w:val="22"/>
          <w:lang w:val="en-US"/>
        </w:rPr>
      </w:pPr>
      <w:r>
        <w:rPr>
          <w:rFonts w:cs="ArialMT"/>
          <w:szCs w:val="22"/>
          <w:lang w:val="en-US"/>
        </w:rPr>
        <w:t>costs of purchasing and installing new watering systems as changes occur in allowed methods of watering;</w:t>
      </w:r>
    </w:p>
    <w:p w14:paraId="50B2D79A" w14:textId="77777777" w:rsidR="00000000" w:rsidRDefault="00DB4BBA">
      <w:pPr>
        <w:pStyle w:val="TextDotPoint"/>
        <w:rPr>
          <w:rFonts w:cs="ArialMT"/>
          <w:szCs w:val="22"/>
          <w:lang w:val="en-US"/>
        </w:rPr>
      </w:pPr>
      <w:r>
        <w:rPr>
          <w:rFonts w:cs="ArialMT"/>
          <w:szCs w:val="22"/>
          <w:lang w:val="en-US"/>
        </w:rPr>
        <w:t>the need to adopt labour-intensive methods of watering when watering is permitted, which incurs time costs;</w:t>
      </w:r>
    </w:p>
    <w:p w14:paraId="78060C3A" w14:textId="77777777" w:rsidR="00000000" w:rsidRDefault="00DB4BBA">
      <w:pPr>
        <w:pStyle w:val="TextDotPoint"/>
        <w:rPr>
          <w:rFonts w:ascii="Helvetica" w:hAnsi="Helvetica" w:cs="Helvetica"/>
          <w:szCs w:val="24"/>
          <w:lang w:val="en-US"/>
        </w:rPr>
      </w:pPr>
      <w:r>
        <w:rPr>
          <w:rFonts w:cs="TimesNewRomanPSMT"/>
          <w:szCs w:val="24"/>
          <w:lang w:val="en-US"/>
        </w:rPr>
        <w:t>loss of sleep and/or leisure as a resul</w:t>
      </w:r>
      <w:r>
        <w:rPr>
          <w:rFonts w:cs="TimesNewRomanPSMT"/>
          <w:szCs w:val="24"/>
          <w:lang w:val="en-US"/>
        </w:rPr>
        <w:t>t of setting alarms to arise and water gardens in permitted time periods;</w:t>
      </w:r>
    </w:p>
    <w:p w14:paraId="1B1012BF" w14:textId="77777777" w:rsidR="00000000" w:rsidRDefault="00DB4BBA">
      <w:pPr>
        <w:pStyle w:val="TextDotPoint"/>
        <w:rPr>
          <w:rFonts w:cs="TimesNewRomanPSMT"/>
          <w:szCs w:val="24"/>
          <w:lang w:val="en-US"/>
        </w:rPr>
      </w:pPr>
      <w:r>
        <w:rPr>
          <w:rFonts w:cs="TimesNewRomanPSMT"/>
          <w:szCs w:val="24"/>
          <w:lang w:val="en-US"/>
        </w:rPr>
        <w:t>having to water in the dark;</w:t>
      </w:r>
    </w:p>
    <w:p w14:paraId="52ABDEA9" w14:textId="77777777" w:rsidR="00000000" w:rsidRDefault="00DB4BBA">
      <w:pPr>
        <w:pStyle w:val="TextDotPoint"/>
        <w:rPr>
          <w:rFonts w:ascii="Helvetica" w:hAnsi="Helvetica" w:cs="Helvetica"/>
          <w:szCs w:val="24"/>
          <w:lang w:val="en-US"/>
        </w:rPr>
      </w:pPr>
      <w:r>
        <w:rPr>
          <w:rFonts w:cs="TimesNewRomanPSMT"/>
          <w:szCs w:val="24"/>
          <w:lang w:val="en-US"/>
        </w:rPr>
        <w:t xml:space="preserve">canceling or rearranging other activities in order to water gardens at permitted times; </w:t>
      </w:r>
    </w:p>
    <w:p w14:paraId="2689D8DB" w14:textId="77777777" w:rsidR="00000000" w:rsidRDefault="00DB4BBA">
      <w:pPr>
        <w:pStyle w:val="TextDotPoint"/>
        <w:rPr>
          <w:rFonts w:ascii="TimesNewRomanPSMT" w:hAnsi="TimesNewRomanPSMT" w:cs="TimesNewRomanPSMT"/>
          <w:sz w:val="24"/>
          <w:szCs w:val="24"/>
          <w:lang w:val="en-US"/>
        </w:rPr>
      </w:pPr>
      <w:r>
        <w:rPr>
          <w:rFonts w:cs="TimesNewRomanPSMT"/>
          <w:szCs w:val="24"/>
          <w:lang w:val="en-US"/>
        </w:rPr>
        <w:t>inability of children to play under</w:t>
      </w:r>
      <w:r>
        <w:rPr>
          <w:rFonts w:cs="TimesNewRomanPSMT"/>
          <w:szCs w:val="24"/>
          <w:lang w:val="en-US"/>
        </w:rPr>
        <w:t xml:space="preserve"> garden sprinklers and to use water toys;</w:t>
      </w:r>
    </w:p>
    <w:p w14:paraId="11510CC6" w14:textId="77777777" w:rsidR="00000000" w:rsidRDefault="00DB4BBA">
      <w:pPr>
        <w:pStyle w:val="TextDotPoint"/>
        <w:rPr>
          <w:rFonts w:cs="TimesNewRomanPSMT"/>
          <w:szCs w:val="24"/>
          <w:lang w:val="en-US"/>
        </w:rPr>
      </w:pPr>
      <w:r>
        <w:rPr>
          <w:rFonts w:cs="TimesNewRomanPSMT"/>
          <w:szCs w:val="24"/>
          <w:lang w:val="en-US"/>
        </w:rPr>
        <w:t>carrying ‘greywater’ in buckets from showers to outdoor plants;</w:t>
      </w:r>
    </w:p>
    <w:p w14:paraId="6D63B8C8" w14:textId="77777777" w:rsidR="00000000" w:rsidRDefault="00DB4BBA">
      <w:pPr>
        <w:pStyle w:val="TextDotPoint"/>
        <w:rPr>
          <w:rFonts w:ascii="Helvetica" w:hAnsi="Helvetica" w:cs="Helvetica"/>
          <w:szCs w:val="24"/>
          <w:lang w:val="en-US"/>
        </w:rPr>
      </w:pPr>
      <w:r>
        <w:rPr>
          <w:rFonts w:cs="TimesNewRomanPSMT"/>
          <w:szCs w:val="24"/>
          <w:lang w:val="en-US"/>
        </w:rPr>
        <w:t>the need to drive cars to a car wash to clean them; and</w:t>
      </w:r>
    </w:p>
    <w:p w14:paraId="25B4BAFB" w14:textId="77777777" w:rsidR="00000000" w:rsidRDefault="00DB4BBA">
      <w:pPr>
        <w:pStyle w:val="TextDotPoint"/>
        <w:rPr>
          <w:rFonts w:ascii="Helvetica" w:hAnsi="Helvetica" w:cs="Helvetica"/>
          <w:szCs w:val="24"/>
          <w:lang w:val="en-US"/>
        </w:rPr>
      </w:pPr>
      <w:r>
        <w:rPr>
          <w:rFonts w:cs="TimesNewRomanPSMT"/>
          <w:szCs w:val="24"/>
          <w:lang w:val="en-US"/>
        </w:rPr>
        <w:t xml:space="preserve">increased damage to buildings, other structures and pipes through cracking </w:t>
      </w:r>
      <w:r>
        <w:rPr>
          <w:rFonts w:cs="TimesNewRomanPSMT"/>
          <w:szCs w:val="24"/>
          <w:lang w:val="en-US"/>
        </w:rPr>
        <w:fldChar w:fldCharType="begin"/>
      </w:r>
      <w:r>
        <w:rPr>
          <w:rFonts w:cs="TimesNewRomanPSMT"/>
          <w:szCs w:val="24"/>
          <w:lang w:val="en-US"/>
        </w:rPr>
        <w:instrText xml:space="preserve"> ADDIN EN.CITE &lt;EndNote&gt;&lt;Cite&gt;&lt;Author&gt;Productivity Commission&lt;/Author&gt;&lt;Year&gt;2008&lt;/Year&gt;&lt;RecNum&gt;89&lt;/RecNum&gt;&lt;record&gt;&lt;rec-number&gt;89&lt;/rec-number&gt;&lt;foreign-keys&gt;&lt;key app="EN" db-id="50s0sw00tv5rvlessrsvpfd52f0zefprpafd"&gt;89&lt;/key&gt;&lt;/foreign-keys&gt;&lt;ref-type name="Boo</w:instrText>
      </w:r>
      <w:r>
        <w:rPr>
          <w:rFonts w:cs="TimesNewRomanPSMT"/>
          <w:szCs w:val="24"/>
          <w:lang w:val="en-US"/>
        </w:rPr>
        <w:instrText>k"&gt;6&lt;/ref-type&gt;&lt;contributors&gt;&lt;authors&gt;&lt;author&gt;Productivity Commission,&lt;/author&gt;&lt;/authors&gt;&lt;/contributors&gt;&lt;titles&gt;&lt;title&gt;Towards Urban Water Reform: A Discussion Paper&lt;/title&gt;&lt;secondary-title&gt;Productivity Commission Research Paper&lt;/secondary-title&gt;&lt;/titles&gt;&lt;</w:instrText>
      </w:r>
      <w:r>
        <w:rPr>
          <w:rFonts w:cs="TimesNewRomanPSMT"/>
          <w:szCs w:val="24"/>
          <w:lang w:val="en-US"/>
        </w:rPr>
        <w:instrText>dates&gt;&lt;year&gt;2008&lt;/year&gt;&lt;pub-dates&gt;&lt;date&gt;March&lt;/date&gt;&lt;/pub-dates&gt;&lt;/dates&gt;&lt;pub-location&gt;Canberra&lt;/pub-location&gt;&lt;urls&gt;&lt;/urls&gt;&lt;/record&gt;&lt;/Cite&gt;&lt;/EndNote&gt;</w:instrText>
      </w:r>
      <w:r>
        <w:rPr>
          <w:rFonts w:cs="TimesNewRomanPSMT"/>
          <w:szCs w:val="24"/>
          <w:lang w:val="en-US"/>
        </w:rPr>
        <w:fldChar w:fldCharType="separate"/>
      </w:r>
      <w:r>
        <w:rPr>
          <w:rFonts w:cs="TimesNewRomanPSMT"/>
          <w:szCs w:val="24"/>
          <w:lang w:val="en-US"/>
        </w:rPr>
        <w:t>(Productivity Commission 2008)</w:t>
      </w:r>
      <w:r>
        <w:rPr>
          <w:rFonts w:cs="TimesNewRomanPSMT"/>
          <w:szCs w:val="24"/>
          <w:lang w:val="en-US"/>
        </w:rPr>
        <w:fldChar w:fldCharType="end"/>
      </w:r>
      <w:r>
        <w:rPr>
          <w:rFonts w:cs="TimesNewRomanPSMT"/>
          <w:szCs w:val="24"/>
          <w:lang w:val="en-US"/>
        </w:rPr>
        <w:t>.</w:t>
      </w:r>
    </w:p>
    <w:p w14:paraId="2175FF6F" w14:textId="77777777" w:rsidR="00000000" w:rsidRDefault="00DB4BBA">
      <w:pPr>
        <w:pStyle w:val="Text"/>
        <w:rPr>
          <w:rFonts w:cs="ArialMT"/>
          <w:szCs w:val="22"/>
          <w:lang w:val="en-US"/>
        </w:rPr>
      </w:pPr>
      <w:r>
        <w:rPr>
          <w:rFonts w:cs="ArialMT"/>
          <w:szCs w:val="22"/>
          <w:lang w:val="en-US"/>
        </w:rPr>
        <w:lastRenderedPageBreak/>
        <w:t xml:space="preserve">In a recent discussion paper the Productivity Commission estimated the full economic cost of water restrictions in Australia amounted to billions of dollars </w:t>
      </w:r>
      <w:r>
        <w:rPr>
          <w:rFonts w:cs="TimesNewRomanPSMT"/>
          <w:szCs w:val="24"/>
          <w:lang w:val="en-US"/>
        </w:rPr>
        <w:fldChar w:fldCharType="begin"/>
      </w:r>
      <w:r>
        <w:rPr>
          <w:rFonts w:cs="TimesNewRomanPSMT"/>
          <w:szCs w:val="24"/>
          <w:lang w:val="en-US"/>
        </w:rPr>
        <w:instrText xml:space="preserve"> ADDIN EN.CITE &lt;EndNote&gt;&lt;Cite&gt;&lt;Author&gt;Productivity Commission&lt;/Author&gt;&lt;Year&gt;2008&lt;/Year&gt;&lt;RecNum&gt;89&lt;/</w:instrText>
      </w:r>
      <w:r>
        <w:rPr>
          <w:rFonts w:cs="TimesNewRomanPSMT"/>
          <w:szCs w:val="24"/>
          <w:lang w:val="en-US"/>
        </w:rPr>
        <w:instrText>RecNum&gt;&lt;record&gt;&lt;rec-number&gt;89&lt;/rec-number&gt;&lt;foreign-keys&gt;&lt;key app="EN" db-id="50s0sw00tv5rvlessrsvpfd52f0zefprpafd"&gt;89&lt;/key&gt;&lt;/foreign-keys&gt;&lt;ref-type name="Book"&gt;6&lt;/ref-type&gt;&lt;contributors&gt;&lt;authors&gt;&lt;author&gt;Productivity Commission,&lt;/author&gt;&lt;/authors&gt;&lt;/contribu</w:instrText>
      </w:r>
      <w:r>
        <w:rPr>
          <w:rFonts w:cs="TimesNewRomanPSMT"/>
          <w:szCs w:val="24"/>
          <w:lang w:val="en-US"/>
        </w:rPr>
        <w:instrText>tors&gt;&lt;titles&gt;&lt;title&gt;Towards Urban Water Reform: A Discussion Paper&lt;/title&gt;&lt;secondary-title&gt;Productivity Commission Research Paper&lt;/secondary-title&gt;&lt;/titles&gt;&lt;dates&gt;&lt;year&gt;2008&lt;/year&gt;&lt;pub-dates&gt;&lt;date&gt;March&lt;/date&gt;&lt;/pub-dates&gt;&lt;/dates&gt;&lt;pub-location&gt;Canberra&lt;/pub</w:instrText>
      </w:r>
      <w:r>
        <w:rPr>
          <w:rFonts w:cs="TimesNewRomanPSMT"/>
          <w:szCs w:val="24"/>
          <w:lang w:val="en-US"/>
        </w:rPr>
        <w:instrText>-location&gt;&lt;urls&gt;&lt;/urls&gt;&lt;/record&gt;&lt;/Cite&gt;&lt;/EndNote&gt;</w:instrText>
      </w:r>
      <w:r>
        <w:rPr>
          <w:rFonts w:cs="TimesNewRomanPSMT"/>
          <w:szCs w:val="24"/>
          <w:lang w:val="en-US"/>
        </w:rPr>
        <w:fldChar w:fldCharType="separate"/>
      </w:r>
      <w:r>
        <w:rPr>
          <w:rFonts w:cs="TimesNewRomanPSMT"/>
          <w:szCs w:val="24"/>
          <w:lang w:val="en-US"/>
        </w:rPr>
        <w:t>(Productivity Commission 2008)</w:t>
      </w:r>
      <w:r>
        <w:rPr>
          <w:rFonts w:cs="TimesNewRomanPSMT"/>
          <w:szCs w:val="24"/>
          <w:lang w:val="en-US"/>
        </w:rPr>
        <w:fldChar w:fldCharType="end"/>
      </w:r>
      <w:r>
        <w:rPr>
          <w:rFonts w:cs="ArialMT"/>
          <w:szCs w:val="22"/>
          <w:lang w:val="en-US"/>
        </w:rPr>
        <w:t>. This, of course, is far above the dollar cost of the water that households would have purchased if water was still in abundant supply. This valuation also illustrates the o</w:t>
      </w:r>
      <w:r>
        <w:rPr>
          <w:rFonts w:cs="ArialMT"/>
          <w:szCs w:val="22"/>
          <w:lang w:val="en-US"/>
        </w:rPr>
        <w:t xml:space="preserve">nus that householders are likely to place on ‘freeing up’ water from within a restricted supply regime. </w:t>
      </w:r>
    </w:p>
    <w:p w14:paraId="46D50D68" w14:textId="77777777" w:rsidR="00000000" w:rsidRDefault="00DB4BBA">
      <w:pPr>
        <w:pStyle w:val="Heading7"/>
      </w:pPr>
      <w:bookmarkStart w:id="37" w:name="_Ref103147652"/>
    </w:p>
    <w:bookmarkEnd w:id="37"/>
    <w:p w14:paraId="76701E94" w14:textId="77777777" w:rsidR="00000000" w:rsidRDefault="00DB4BBA">
      <w:pPr>
        <w:pStyle w:val="TableTitle"/>
        <w:keepLines/>
        <w:tabs>
          <w:tab w:val="left" w:pos="7371"/>
        </w:tabs>
        <w:ind w:right="56"/>
      </w:pPr>
      <w:r>
        <w:t>estimates of the costs of water restrictions for households</w:t>
      </w:r>
    </w:p>
    <w:tbl>
      <w:tblPr>
        <w:tblW w:w="0" w:type="auto"/>
        <w:tblInd w:w="108" w:type="dxa"/>
        <w:tblBorders>
          <w:top w:val="single" w:sz="8" w:space="0" w:color="auto"/>
          <w:left w:val="single" w:sz="8" w:space="0" w:color="auto"/>
          <w:bottom w:val="single" w:sz="8" w:space="0" w:color="auto"/>
          <w:right w:val="single" w:sz="8" w:space="0" w:color="auto"/>
        </w:tblBorders>
        <w:tblLayout w:type="fixed"/>
        <w:tblCellMar>
          <w:top w:w="57" w:type="dxa"/>
          <w:bottom w:w="57" w:type="dxa"/>
        </w:tblCellMar>
        <w:tblLook w:val="0000" w:firstRow="0" w:lastRow="0" w:firstColumn="0" w:lastColumn="0" w:noHBand="0" w:noVBand="0"/>
      </w:tblPr>
      <w:tblGrid>
        <w:gridCol w:w="7371"/>
      </w:tblGrid>
      <w:tr w:rsidR="00000000" w14:paraId="456CB610" w14:textId="77777777">
        <w:tc>
          <w:tcPr>
            <w:tcW w:w="7371" w:type="dxa"/>
            <w:tcBorders>
              <w:top w:val="single" w:sz="8" w:space="0" w:color="auto"/>
              <w:bottom w:val="single" w:sz="8" w:space="0" w:color="auto"/>
            </w:tcBorders>
            <w:shd w:val="pct10" w:color="auto" w:fill="auto"/>
          </w:tcPr>
          <w:p w14:paraId="4651FEC3" w14:textId="77777777" w:rsidR="00000000" w:rsidRDefault="00DB4BBA">
            <w:pPr>
              <w:pStyle w:val="BoxText"/>
              <w:rPr>
                <w:rFonts w:ascii="Helvetica" w:hAnsi="Helvetica" w:cs="Helvetica"/>
                <w:sz w:val="24"/>
                <w:szCs w:val="24"/>
                <w:lang w:val="en-US"/>
              </w:rPr>
            </w:pPr>
            <w:r>
              <w:rPr>
                <w:rFonts w:cs="ArialMT"/>
                <w:b/>
                <w:bCs/>
                <w:i/>
                <w:iCs/>
                <w:szCs w:val="22"/>
                <w:lang w:val="en-US"/>
              </w:rPr>
              <w:t>Sydney</w:t>
            </w:r>
            <w:r>
              <w:rPr>
                <w:rFonts w:cs="ArialMT"/>
                <w:szCs w:val="22"/>
                <w:lang w:val="en-US"/>
              </w:rPr>
              <w:t>: Using a Marshallian consumer surplus approach, G</w:t>
            </w:r>
            <w:r>
              <w:rPr>
                <w:rFonts w:cs="ArialMT"/>
                <w:szCs w:val="22"/>
                <w:lang w:val="en-US"/>
              </w:rPr>
              <w:t>rafton and Ward (2007) estimated the welfare cost per Sydney household in 2005 at about $150 above the cost of achieving the same level of water use with higher water prices. This reflects the effect of prescriptive water restrictions in preventing househo</w:t>
            </w:r>
            <w:r>
              <w:rPr>
                <w:rFonts w:cs="ArialMT"/>
                <w:szCs w:val="22"/>
                <w:lang w:val="en-US"/>
              </w:rPr>
              <w:t xml:space="preserve">lds using a given volume of water for the purposes they value most highly.  </w:t>
            </w:r>
          </w:p>
          <w:p w14:paraId="52A7675D" w14:textId="77777777" w:rsidR="00000000" w:rsidRDefault="00DB4BBA">
            <w:pPr>
              <w:pStyle w:val="BoxText"/>
              <w:rPr>
                <w:rFonts w:ascii="Helvetica" w:hAnsi="Helvetica" w:cs="Helvetica"/>
                <w:sz w:val="24"/>
                <w:szCs w:val="24"/>
                <w:lang w:val="en-US"/>
              </w:rPr>
            </w:pPr>
            <w:r>
              <w:rPr>
                <w:rFonts w:cs="ArialMT"/>
                <w:b/>
                <w:bCs/>
                <w:i/>
                <w:iCs/>
                <w:szCs w:val="22"/>
                <w:lang w:val="en-US"/>
              </w:rPr>
              <w:t>Perth</w:t>
            </w:r>
            <w:r>
              <w:rPr>
                <w:rFonts w:cs="ArialMT"/>
                <w:szCs w:val="22"/>
                <w:lang w:val="en-US"/>
              </w:rPr>
              <w:t>: Assuming typical preferences for ‘greenness’ and valuing time spent holding hoses at its opportunity cost, Brennan, Tapsuwan and Ingram (2007) estimated the annual costs of</w:t>
            </w:r>
            <w:r>
              <w:rPr>
                <w:rFonts w:cs="ArialMT"/>
                <w:szCs w:val="22"/>
                <w:lang w:val="en-US"/>
              </w:rPr>
              <w:t xml:space="preserve"> water restrictions at $67 per household for restrictions that allow watering twice a week using sprinklers, and $347 (opportunity cost of time equal to 33 per cent of mean wage) to $870 (opportunity cost equal to mean wage) for bans on the use of sprinkle</w:t>
            </w:r>
            <w:r>
              <w:rPr>
                <w:rFonts w:cs="ArialMT"/>
                <w:szCs w:val="22"/>
                <w:lang w:val="en-US"/>
              </w:rPr>
              <w:t>rs. The costs were lower for people who placed a lower value on greenness, and higher for those who valued it more highly. The baseline is no water restrictions and the same water price (and hence higher water use) as with restrictions.</w:t>
            </w:r>
            <w:r>
              <w:rPr>
                <w:rFonts w:cs="ArialMT"/>
                <w:b/>
                <w:bCs/>
                <w:szCs w:val="22"/>
                <w:lang w:val="en-US"/>
              </w:rPr>
              <w:t xml:space="preserve"> </w:t>
            </w:r>
          </w:p>
          <w:p w14:paraId="7B354388" w14:textId="77777777" w:rsidR="00000000" w:rsidRDefault="00DB4BBA">
            <w:pPr>
              <w:pStyle w:val="BoxText"/>
            </w:pPr>
            <w:r>
              <w:rPr>
                <w:rFonts w:cs="ArialMT"/>
                <w:b/>
                <w:bCs/>
                <w:i/>
                <w:iCs/>
                <w:szCs w:val="22"/>
                <w:lang w:val="en-US"/>
              </w:rPr>
              <w:t>Canberra</w:t>
            </w:r>
            <w:r>
              <w:rPr>
                <w:rFonts w:cs="ArialMT"/>
                <w:szCs w:val="22"/>
                <w:lang w:val="en-US"/>
              </w:rPr>
              <w:t>: Hensher,</w:t>
            </w:r>
            <w:r>
              <w:rPr>
                <w:rFonts w:cs="ArialMT"/>
                <w:szCs w:val="22"/>
                <w:lang w:val="en-US"/>
              </w:rPr>
              <w:t xml:space="preserve"> Shore and Train (2006) used choice experiments to estimate Canberra households’ willingness to pay to avoid water restrictions. They found respondents were unwilling to pay to avoid low-level restrictions, including restrictions that allowed watering only</w:t>
            </w:r>
            <w:r>
              <w:rPr>
                <w:rFonts w:cs="ArialMT"/>
                <w:szCs w:val="22"/>
                <w:lang w:val="en-US"/>
              </w:rPr>
              <w:t xml:space="preserve"> on alternative days. To have stage one or two restrictions rather than stage three, four or five restrictions, respondents were willing to pay an average amount of $109, $130 and $268 per year, respectively, given that restrictions were applied once in ev</w:t>
            </w:r>
            <w:r>
              <w:rPr>
                <w:rFonts w:cs="ArialMT"/>
                <w:szCs w:val="22"/>
                <w:lang w:val="en-US"/>
              </w:rPr>
              <w:t xml:space="preserve">ery ten years.  </w:t>
            </w:r>
          </w:p>
        </w:tc>
      </w:tr>
    </w:tbl>
    <w:p w14:paraId="76914ED0" w14:textId="77777777" w:rsidR="00000000" w:rsidRDefault="00DB4BBA">
      <w:pPr>
        <w:pStyle w:val="TableSource"/>
      </w:pPr>
      <w:r>
        <w:t xml:space="preserve">Source: </w:t>
      </w:r>
      <w:r>
        <w:fldChar w:fldCharType="begin"/>
      </w:r>
      <w:r>
        <w:instrText xml:space="preserve"> ADDIN EN.CITE &lt;EndNote&gt;&lt;Cite&gt;&lt;Author&gt;Productivity Commission&lt;/Author&gt;&lt;Year&gt;2008&lt;/Year&gt;&lt;RecNum&gt;89&lt;/RecNum&gt;&lt;record&gt;&lt;rec-number&gt;89&lt;/rec-numb</w:instrText>
      </w:r>
      <w:r>
        <w:instrText>er&gt;&lt;foreign-keys&gt;&lt;key app="EN" db-id="50s0sw00tv5rvlessrsvpfd52f0zefprpafd"&gt;89&lt;/key&gt;&lt;/foreign-keys&gt;&lt;ref-type name="Book"&gt;6&lt;/ref-type&gt;&lt;contributors&gt;&lt;authors&gt;&lt;author&gt;Productivity Commission,&lt;/author&gt;&lt;/authors&gt;&lt;/contributors&gt;&lt;titles&gt;&lt;title&gt;Towards Urban Water</w:instrText>
      </w:r>
      <w:r>
        <w:instrText xml:space="preserve"> Reform: A Discussion Paper&lt;/title&gt;&lt;secondary-title&gt;Productivity Commission Research Paper&lt;/secondary-title&gt;&lt;/titles&gt;&lt;dates&gt;&lt;year&gt;2008&lt;/year&gt;&lt;pub-dates&gt;&lt;date&gt;March&lt;/date&gt;&lt;/pub-dates&gt;&lt;/dates&gt;&lt;pub-location&gt;Canberra&lt;/pub-location&gt;&lt;urls&gt;&lt;/urls&gt;&lt;/record&gt;&lt;/Cite&gt;</w:instrText>
      </w:r>
      <w:r>
        <w:instrText>&lt;/EndNote&gt;</w:instrText>
      </w:r>
      <w:r>
        <w:fldChar w:fldCharType="separate"/>
      </w:r>
      <w:r>
        <w:t>(Productivity Commission 2008)</w:t>
      </w:r>
      <w:r>
        <w:fldChar w:fldCharType="end"/>
      </w:r>
    </w:p>
    <w:p w14:paraId="3F897AF2" w14:textId="77777777" w:rsidR="00000000" w:rsidRDefault="00DB4BBA">
      <w:pPr>
        <w:pStyle w:val="Heading3"/>
        <w:ind w:left="709" w:hanging="709"/>
        <w:rPr>
          <w:lang w:val="en-GB"/>
        </w:rPr>
      </w:pPr>
      <w:bookmarkStart w:id="38" w:name="_Toc100638770"/>
      <w:bookmarkStart w:id="39" w:name="_Ref109451431"/>
      <w:bookmarkStart w:id="40" w:name="_Toc113413071"/>
      <w:bookmarkStart w:id="41" w:name="_Toc115836305"/>
      <w:bookmarkStart w:id="42" w:name="_Toc118523890"/>
      <w:bookmarkStart w:id="43" w:name="_Toc100638772"/>
      <w:bookmarkEnd w:id="38"/>
      <w:r>
        <w:rPr>
          <w:lang w:val="en-GB"/>
        </w:rPr>
        <w:t>Potential benefits of improved water efficiency measures</w:t>
      </w:r>
      <w:bookmarkEnd w:id="39"/>
      <w:bookmarkEnd w:id="40"/>
      <w:bookmarkEnd w:id="41"/>
      <w:bookmarkEnd w:id="42"/>
    </w:p>
    <w:p w14:paraId="183E79A5" w14:textId="77777777" w:rsidR="00000000" w:rsidRDefault="00DB4BBA">
      <w:pPr>
        <w:pStyle w:val="Text"/>
      </w:pPr>
      <w:r>
        <w:t xml:space="preserve">Current </w:t>
      </w:r>
      <w:r>
        <w:t>methods of managing water scarcity, including water restrictions or investing in new infrastructure (such as desalination plants, water recycling systems and additional water storage areas), impose costs on the community. Recognising the need for alternati</w:t>
      </w:r>
      <w:r>
        <w:t xml:space="preserve">ves to these measures, </w:t>
      </w:r>
      <w:r>
        <w:rPr>
          <w:rFonts w:cs="ArialMT"/>
          <w:szCs w:val="22"/>
          <w:lang w:val="en-US"/>
        </w:rPr>
        <w:t>governments have sought to improve the efficiency of residential water use by introducing alternative strategies such as encouraging the uptake of water efficient products. This promises to reduce demand for water in individual house</w:t>
      </w:r>
      <w:r>
        <w:rPr>
          <w:rFonts w:cs="ArialMT"/>
          <w:szCs w:val="22"/>
          <w:lang w:val="en-US"/>
        </w:rPr>
        <w:t xml:space="preserve">holds and at the communal level.. </w:t>
      </w:r>
      <w:r>
        <w:t>This approach to reducing demand for water does not necessarily require consumers to change the way in which they use water (through appliances such as washing machines) —</w:t>
      </w:r>
      <w:r>
        <w:t xml:space="preserve"> ideally the consumer has the option (though sometimes at a higher up front price) of using less water to deliver the same result. The consumer, therefore, experiences no direct impact on utility — while at the same time, their use of water is reduced. </w:t>
      </w:r>
    </w:p>
    <w:p w14:paraId="2FCD7FB7" w14:textId="77777777" w:rsidR="00000000" w:rsidRDefault="00DB4BBA">
      <w:pPr>
        <w:pStyle w:val="Text"/>
      </w:pPr>
      <w:r>
        <w:lastRenderedPageBreak/>
        <w:t>Si</w:t>
      </w:r>
      <w:r>
        <w:t>gnificant water savings can be achieved through encouraging consumers to switch to more water efficient products. The amount of water used by products that are designed to perform the same task can vary widely. For example, at least 25 per cent of indoor r</w:t>
      </w:r>
      <w:r>
        <w:t>esidential water use is a result of toilet flushing (this proportion tends to increase during drought situation when water restrictions are in place). The amount of water used by toilets that are sold today ranges from an average flush volume of 5.5L to 3L</w:t>
      </w:r>
      <w:r>
        <w:t xml:space="preserve">. Even the most water inefficient toilet available today is about 50 per cent more efficient than those available on the market 25 years ago </w:t>
      </w:r>
      <w:r>
        <w:fldChar w:fldCharType="begin"/>
      </w:r>
      <w:r>
        <w:instrText xml:space="preserve"> ADDIN EN.CITE &lt;EndNote&gt;&lt;Cite&gt;&lt;Author&gt;Institute for Sustainable Futures&lt;/Author&gt;&lt;Year&gt;2008&lt;/Year&gt;&lt;RecNum&gt;107&lt;/RecNu</w:instrText>
      </w:r>
      <w:r>
        <w:instrText>m&gt;&lt;record&gt;&lt;rec-number&gt;107&lt;/rec-number&gt;&lt;foreign-keys&gt;&lt;key app="EN" db-id="50s0sw00tv5rvlessrsvpfd52f0zefprpafd"&gt;107&lt;/key&gt;&lt;/foreign-keys&gt;&lt;ref-type name="Report"&gt;27&lt;/ref-type&gt;&lt;contributors&gt;&lt;authors&gt;&lt;author&gt;Institute for Sustainable Futures,&lt;/author&gt;&lt;/authors&gt;</w:instrText>
      </w:r>
      <w:r>
        <w:instrText>&lt;/contributors&gt;&lt;titles&gt;&lt;title&gt;Analysis of Australian Opportunties for More Water-Efficient Toilets&lt;/title&gt;&lt;/titles&gt;&lt;dates&gt;&lt;year&gt;2008&lt;/year&gt;&lt;/dates&gt;&lt;publisher&gt;Department of the Environment Water Heritage and the Arts&lt;/publisher&gt;&lt;urls&gt;&lt;/urls&gt;&lt;/record&gt;&lt;/Cite&gt;</w:instrText>
      </w:r>
      <w:r>
        <w:instrText>&lt;/EndNote&gt;</w:instrText>
      </w:r>
      <w:r>
        <w:fldChar w:fldCharType="separate"/>
      </w:r>
      <w:r>
        <w:t>(Institute for Sustainable Futures 2008)</w:t>
      </w:r>
      <w:r>
        <w:fldChar w:fldCharType="end"/>
      </w:r>
      <w:r>
        <w:t>. If a person uses the toilet seven times a day, the amount of water saved over the course of a year as a result of switching from a very inefficient toilet to a very efficient one is 6.4kL per person. E</w:t>
      </w:r>
      <w:r>
        <w:t xml:space="preserve">ven larger water savings will be made if the consumer is switching from an older style toilet to a water efficient modern toilet </w:t>
      </w:r>
      <w:r>
        <w:fldChar w:fldCharType="begin"/>
      </w:r>
      <w:r>
        <w:instrText xml:space="preserve"> ADDIN EN.CITE &lt;EndNote&gt;&lt;Cite&gt;&lt;Author&gt;Institute for Sustainable Futures&lt;/Author&gt;&lt;Year&gt;2008&lt;/Year&gt;&lt;RecNum&gt;107&lt;/RecNum&gt;&lt;record&gt;&lt;r</w:instrText>
      </w:r>
      <w:r>
        <w:instrText>ec-number&gt;107&lt;/rec-number&gt;&lt;foreign-keys&gt;&lt;key app="EN" db-id="50s0sw00tv5rvlessrsvpfd52f0zefprpafd"&gt;107&lt;/key&gt;&lt;/foreign-keys&gt;&lt;ref-type name="Report"&gt;27&lt;/ref-type&gt;&lt;contributors&gt;&lt;authors&gt;&lt;author&gt;Institute for Sustainable Futures,&lt;/author&gt;&lt;/authors&gt;&lt;/contributo</w:instrText>
      </w:r>
      <w:r>
        <w:instrText>rs&gt;&lt;titles&gt;&lt;title&gt;Analysis of Australian Opportunties for More Water-Efficient Toilets&lt;/title&gt;&lt;/titles&gt;&lt;dates&gt;&lt;year&gt;2008&lt;/year&gt;&lt;/dates&gt;&lt;publisher&gt;Department of the Environment Water Heritage and the Arts&lt;/publisher&gt;&lt;urls&gt;&lt;/urls&gt;&lt;/record&gt;&lt;/Cite&gt;&lt;/EndNote&gt;</w:instrText>
      </w:r>
      <w:r>
        <w:fldChar w:fldCharType="separate"/>
      </w:r>
      <w:r>
        <w:t>(I</w:t>
      </w:r>
      <w:r>
        <w:t>nstitute for Sustainable Futures 2008)</w:t>
      </w:r>
      <w:r>
        <w:fldChar w:fldCharType="end"/>
      </w:r>
      <w:r>
        <w:t xml:space="preserve">. </w:t>
      </w:r>
    </w:p>
    <w:p w14:paraId="79A961F9" w14:textId="77777777" w:rsidR="00000000" w:rsidRDefault="00DB4BBA">
      <w:pPr>
        <w:pStyle w:val="Text"/>
      </w:pPr>
      <w:r>
        <w:t>The uptake of water efficient appliances and the subsequent reduced demand for water by households has a number of benefits, including:</w:t>
      </w:r>
    </w:p>
    <w:p w14:paraId="72208D22" w14:textId="77777777" w:rsidR="00000000" w:rsidRDefault="00DB4BBA">
      <w:pPr>
        <w:pStyle w:val="TextDotPoint"/>
      </w:pPr>
      <w:r>
        <w:t>reducing the likelihood of water restrictions being imposed and reducing t</w:t>
      </w:r>
      <w:r>
        <w:t>he severity and longevity when they are imposed;</w:t>
      </w:r>
    </w:p>
    <w:p w14:paraId="65D33EF8" w14:textId="77777777" w:rsidR="00000000" w:rsidRDefault="00DB4BBA">
      <w:pPr>
        <w:pStyle w:val="TextDotPoint"/>
      </w:pPr>
      <w:r>
        <w:t>contributing to efforts to ensure a secure water supply without recourse to new supply infrastructure;</w:t>
      </w:r>
    </w:p>
    <w:p w14:paraId="7423A667" w14:textId="77777777" w:rsidR="00000000" w:rsidRDefault="00DB4BBA">
      <w:pPr>
        <w:pStyle w:val="TextDotPoint"/>
      </w:pPr>
      <w:r>
        <w:t xml:space="preserve">a reduction in water usage — this reduction is unlikely to compensate the household for the initial </w:t>
      </w:r>
      <w:r>
        <w:t>investment required to purchase a more water efficient appliance, but becomes more important against the backdrop of expected increases in future water prices; and</w:t>
      </w:r>
    </w:p>
    <w:p w14:paraId="16B3B65B" w14:textId="77777777" w:rsidR="00000000" w:rsidRDefault="00DB4BBA">
      <w:pPr>
        <w:pStyle w:val="TextDotPoint"/>
      </w:pPr>
      <w:r>
        <w:t>psychic income to consumers associated wi</w:t>
      </w:r>
      <w:r>
        <w:t>th voluntary efforts to take a more socially responsible approach to water consumption and conservation.</w:t>
      </w:r>
    </w:p>
    <w:p w14:paraId="07677B22" w14:textId="77777777" w:rsidR="00000000" w:rsidRDefault="00DB4BBA">
      <w:pPr>
        <w:pStyle w:val="Text"/>
      </w:pPr>
      <w:r>
        <w:t>Hence, improved water efficiency through investment in more water efficient products presents an opportunity to reduce consumption without impacting on</w:t>
      </w:r>
      <w:r>
        <w:t xml:space="preserve"> quality of life and to generate savings through the avoided costs of water restrictions and small household water bills. Appropriate water efficiency labelling provides a basis for assessing and comparing the relative efficiency of water using appliances,</w:t>
      </w:r>
      <w:r>
        <w:t xml:space="preserve"> and is the starting point for accessing the benefits identified above.</w:t>
      </w:r>
    </w:p>
    <w:p w14:paraId="27EB7210" w14:textId="77777777" w:rsidR="00000000" w:rsidRDefault="00DB4BBA">
      <w:pPr>
        <w:pStyle w:val="Heading3"/>
        <w:ind w:left="709" w:hanging="709"/>
      </w:pPr>
      <w:bookmarkStart w:id="44" w:name="_Ref109451483"/>
      <w:bookmarkStart w:id="45" w:name="_Toc113413072"/>
      <w:bookmarkStart w:id="46" w:name="_Toc115836306"/>
      <w:bookmarkStart w:id="47" w:name="_Toc118523891"/>
      <w:bookmarkEnd w:id="43"/>
      <w:r>
        <w:t>Market failures that may impede the purchase of water efficient products</w:t>
      </w:r>
      <w:bookmarkEnd w:id="44"/>
      <w:bookmarkEnd w:id="45"/>
      <w:bookmarkEnd w:id="46"/>
      <w:bookmarkEnd w:id="47"/>
    </w:p>
    <w:p w14:paraId="0E8397D2" w14:textId="77777777" w:rsidR="00000000" w:rsidRDefault="00DB4BBA">
      <w:pPr>
        <w:pStyle w:val="Text"/>
        <w:rPr>
          <w:lang w:val="en-GB"/>
        </w:rPr>
      </w:pPr>
      <w:r>
        <w:rPr>
          <w:lang w:val="en-GB"/>
        </w:rPr>
        <w:t xml:space="preserve">The preceding discussion highlights the potential benefits of investing in more water efficient products in Australia. </w:t>
      </w:r>
    </w:p>
    <w:p w14:paraId="69641C1E" w14:textId="77777777" w:rsidR="00000000" w:rsidRDefault="00DB4BBA">
      <w:pPr>
        <w:pStyle w:val="Text"/>
        <w:rPr>
          <w:lang w:val="en-GB"/>
        </w:rPr>
      </w:pPr>
      <w:r>
        <w:rPr>
          <w:lang w:val="en-GB"/>
        </w:rPr>
        <w:t>In order to determine the best course of action, if any, for government to address a problem, RIS analysis needs to identify:</w:t>
      </w:r>
    </w:p>
    <w:p w14:paraId="40979A04" w14:textId="77777777" w:rsidR="00000000" w:rsidRDefault="00DB4BBA">
      <w:pPr>
        <w:pStyle w:val="TextDotPoint"/>
        <w:tabs>
          <w:tab w:val="num" w:pos="360"/>
        </w:tabs>
        <w:ind w:left="360" w:hanging="360"/>
        <w:rPr>
          <w:lang w:val="en-GB"/>
        </w:rPr>
      </w:pPr>
      <w:r>
        <w:rPr>
          <w:lang w:val="en-GB"/>
        </w:rPr>
        <w:t>first, whether market failures exist; and</w:t>
      </w:r>
    </w:p>
    <w:p w14:paraId="12FC739B" w14:textId="77777777" w:rsidR="00000000" w:rsidRDefault="00DB4BBA">
      <w:pPr>
        <w:pStyle w:val="TextDotPoint"/>
        <w:tabs>
          <w:tab w:val="num" w:pos="360"/>
        </w:tabs>
        <w:ind w:left="360" w:hanging="360"/>
        <w:rPr>
          <w:lang w:val="en-GB"/>
        </w:rPr>
      </w:pPr>
      <w:r>
        <w:rPr>
          <w:lang w:val="en-GB"/>
        </w:rPr>
        <w:t>second, whether there is a need for change.</w:t>
      </w:r>
    </w:p>
    <w:p w14:paraId="79EBC737" w14:textId="77777777" w:rsidR="00000000" w:rsidRDefault="00DB4BBA">
      <w:pPr>
        <w:pStyle w:val="Text"/>
      </w:pPr>
      <w:r>
        <w:lastRenderedPageBreak/>
        <w:t xml:space="preserve">Market failures exist when there is a divergence between the marginal social costs and benefits and the marginal private costs and benefits of investing in conservation. In the presence of this divergence, there is a </w:t>
      </w:r>
      <w:r>
        <w:rPr>
          <w:i/>
        </w:rPr>
        <w:t>prima facie</w:t>
      </w:r>
      <w:r>
        <w:t xml:space="preserve"> case for government interve</w:t>
      </w:r>
      <w:r>
        <w:t xml:space="preserve">ntion. </w:t>
      </w:r>
    </w:p>
    <w:p w14:paraId="654674E0" w14:textId="77777777" w:rsidR="00000000" w:rsidRDefault="00DB4BBA">
      <w:pPr>
        <w:pStyle w:val="Text"/>
      </w:pPr>
      <w:r>
        <w:t>Market failures are typically considered to fall within the following three categories:</w:t>
      </w:r>
    </w:p>
    <w:p w14:paraId="5AFEA4CB" w14:textId="77777777" w:rsidR="00000000" w:rsidRDefault="00DB4BBA">
      <w:pPr>
        <w:pStyle w:val="TextDotPoint"/>
        <w:tabs>
          <w:tab w:val="num" w:pos="360"/>
        </w:tabs>
        <w:ind w:left="360" w:hanging="360"/>
      </w:pPr>
      <w:r>
        <w:t>Public goods — public goods are those which are non-rivalrous and non-excludible, significantly limiting the incentive for private providers to supply these g</w:t>
      </w:r>
      <w:r>
        <w:t>oods and resulting in an undersupply or no supply at all without government intervention;</w:t>
      </w:r>
    </w:p>
    <w:p w14:paraId="7604DD67" w14:textId="77777777" w:rsidR="00000000" w:rsidRDefault="00DB4BBA">
      <w:pPr>
        <w:pStyle w:val="TextDotPoint"/>
        <w:tabs>
          <w:tab w:val="num" w:pos="360"/>
        </w:tabs>
        <w:ind w:left="360" w:hanging="360"/>
      </w:pPr>
      <w:r>
        <w:t xml:space="preserve">Externalities — </w:t>
      </w:r>
      <w:r>
        <w:rPr>
          <w:lang w:val="en-GB"/>
        </w:rPr>
        <w:t>externalities occur when a transaction results in a cost or a benefit for a party that is not directly involved</w:t>
      </w:r>
      <w:r>
        <w:t>; and</w:t>
      </w:r>
    </w:p>
    <w:p w14:paraId="33AEBA92" w14:textId="77777777" w:rsidR="00000000" w:rsidRDefault="00DB4BBA">
      <w:pPr>
        <w:pStyle w:val="TextDotPoint"/>
        <w:tabs>
          <w:tab w:val="num" w:pos="360"/>
        </w:tabs>
        <w:ind w:left="360" w:hanging="360"/>
      </w:pPr>
      <w:r>
        <w:t>Information asymmetries — inf</w:t>
      </w:r>
      <w:r>
        <w:t>ormation asymmetries occur when one party in the market, usually the buyer, does not have sufficient information about the good they are considering purchasing, or the actions of the seller, to make a decision in their best interest.</w:t>
      </w:r>
    </w:p>
    <w:p w14:paraId="51383A25" w14:textId="77777777" w:rsidR="00000000" w:rsidRDefault="00DB4BBA">
      <w:pPr>
        <w:pStyle w:val="Heading4"/>
        <w:rPr>
          <w:lang w:val="en-GB"/>
        </w:rPr>
      </w:pPr>
      <w:r>
        <w:rPr>
          <w:lang w:val="en-GB"/>
        </w:rPr>
        <w:t>Public goods</w:t>
      </w:r>
    </w:p>
    <w:p w14:paraId="751B85BD" w14:textId="77777777" w:rsidR="00000000" w:rsidRDefault="00DB4BBA">
      <w:pPr>
        <w:pStyle w:val="Text"/>
      </w:pPr>
      <w:r>
        <w:t>Public go</w:t>
      </w:r>
      <w:r>
        <w:t>ods are often under supplied or not available at all in unregulated markets because there is not sufficient private benefit generated by these goods for private providers. Information is one such public good.</w:t>
      </w:r>
    </w:p>
    <w:p w14:paraId="3BE69DDE" w14:textId="77777777" w:rsidR="00000000" w:rsidRDefault="00DB4BBA">
      <w:pPr>
        <w:pStyle w:val="Text"/>
      </w:pPr>
      <w:r>
        <w:t>Testing to ascertain the relative water efficie</w:t>
      </w:r>
      <w:r>
        <w:t>ncy of products within the market is too expensive for an individual consumer to collect. As such, if industry does not supply this information, either voluntarily or in response to a mandatory scheme, consumers do not have a reasonable recourse to acquire</w:t>
      </w:r>
      <w:r>
        <w:t xml:space="preserve"> it. Once information on water efficiency has been generated it can be shared at low cost. The subsequent value of the information to each individual will be lower than the cost of generating it. The cumulative benefit, however, to all consumers of the inf</w:t>
      </w:r>
      <w:r>
        <w:t>ormation — where a sufficient number of consumers value the information — can be powerfully beneficial.</w:t>
      </w:r>
    </w:p>
    <w:p w14:paraId="19433161" w14:textId="77777777" w:rsidR="00000000" w:rsidRDefault="00DB4BBA">
      <w:pPr>
        <w:pStyle w:val="Text"/>
        <w:rPr>
          <w:lang w:val="en-GB"/>
        </w:rPr>
      </w:pPr>
      <w:r>
        <w:rPr>
          <w:lang w:val="en-GB"/>
        </w:rPr>
        <w:t>Market research indicates that for a considerable proportion of the community the provision of water usage information at the point of sale is influenti</w:t>
      </w:r>
      <w:r>
        <w:rPr>
          <w:lang w:val="en-GB"/>
        </w:rPr>
        <w:t>al in encouraging investment in water efficient products. A recent study on the impact of the water efficiency labels that are applied to products captured by the WELS scheme indicated 93 per cent of those surveyed considered the information either very or</w:t>
      </w:r>
      <w:r>
        <w:rPr>
          <w:lang w:val="en-GB"/>
        </w:rPr>
        <w:t xml:space="preserve"> quite influential in their decision-making process </w:t>
      </w:r>
      <w:r>
        <w:rPr>
          <w:lang w:val="en-GB"/>
        </w:rPr>
        <w:fldChar w:fldCharType="begin"/>
      </w:r>
      <w:r>
        <w:rPr>
          <w:lang w:val="en-GB"/>
        </w:rPr>
        <w:instrText xml:space="preserve"> ADDIN EN.CITE &lt;EndNote&gt;&lt;Cite&gt;&lt;Author&gt;Quantum&lt;/Author&gt;&lt;Year&gt;2008&lt;/Year&gt;&lt;RecNum&gt;80&lt;/RecNum&gt;&lt;record&gt;&lt;rec-number&gt;80&lt;/rec-number&gt;&lt;foreign-keys&gt;&lt;key app="EN" db-id="50s0sw00tv5rvlessrsvpfd52f0zefprpafd"&gt;80&lt;/ke</w:instrText>
      </w:r>
      <w:r>
        <w:rPr>
          <w:lang w:val="en-GB"/>
        </w:rPr>
        <w:instrText>y&gt;&lt;/foreign-keys&gt;&lt;ref-type name="Book"&gt;6&lt;/ref-type&gt;&lt;contributors&gt;&lt;authors&gt;&lt;author&gt;Quantum,&lt;/author&gt;&lt;/authors&gt;&lt;/contributors&gt;&lt;titles&gt;&lt;title&gt;Consumer Awareness and Use of The Water Efficiency Labelling and Standards (WELS) Label&lt;/title&gt;&lt;/titles&gt;&lt;dates&gt;&lt;year&gt;</w:instrText>
      </w:r>
      <w:r>
        <w:rPr>
          <w:lang w:val="en-GB"/>
        </w:rPr>
        <w:instrText>2008&lt;/year&gt;&lt;/dates&gt;&lt;pub-location&gt;Canberra&lt;/pub-location&gt;&lt;publisher&gt;Department of the Environment, Water, Heritage and the Arts&lt;/publisher&gt;&lt;urls&gt;&lt;/urls&gt;&lt;/record&gt;&lt;/Cite&gt;&lt;/EndNote&gt;</w:instrText>
      </w:r>
      <w:r>
        <w:rPr>
          <w:lang w:val="en-GB"/>
        </w:rPr>
        <w:fldChar w:fldCharType="separate"/>
      </w:r>
      <w:r>
        <w:rPr>
          <w:lang w:val="en-GB"/>
        </w:rPr>
        <w:t>(Quantum 2008)</w:t>
      </w:r>
      <w:r>
        <w:rPr>
          <w:lang w:val="en-GB"/>
        </w:rPr>
        <w:fldChar w:fldCharType="end"/>
      </w:r>
      <w:r>
        <w:rPr>
          <w:lang w:val="en-GB"/>
        </w:rPr>
        <w:t xml:space="preserve">. </w:t>
      </w:r>
      <w:r>
        <w:rPr>
          <w:lang w:val="en-GB"/>
        </w:rPr>
        <w:fldChar w:fldCharType="begin"/>
      </w:r>
      <w:r>
        <w:rPr>
          <w:lang w:val="en-GB"/>
        </w:rPr>
        <w:instrText xml:space="preserve"> REF _Ref104020155 \n \h </w:instrText>
      </w:r>
      <w:r>
        <w:rPr>
          <w:lang w:val="en-GB"/>
        </w:rPr>
      </w:r>
      <w:r>
        <w:rPr>
          <w:lang w:val="en-GB"/>
        </w:rPr>
        <w:fldChar w:fldCharType="separate"/>
      </w:r>
      <w:r>
        <w:rPr>
          <w:lang w:val="en-GB"/>
        </w:rPr>
        <w:t>Figure 4.2</w:t>
      </w:r>
      <w:r>
        <w:rPr>
          <w:lang w:val="en-GB"/>
        </w:rPr>
        <w:fldChar w:fldCharType="end"/>
      </w:r>
      <w:r>
        <w:rPr>
          <w:lang w:val="en-GB"/>
        </w:rPr>
        <w:t xml:space="preserve"> illustrates the results of this survey in more depth.</w:t>
      </w:r>
    </w:p>
    <w:p w14:paraId="41CA2703" w14:textId="77777777" w:rsidR="00000000" w:rsidRDefault="00DB4BBA">
      <w:pPr>
        <w:pStyle w:val="Heading6"/>
      </w:pPr>
      <w:bookmarkStart w:id="48" w:name="_Ref104020155"/>
    </w:p>
    <w:bookmarkEnd w:id="48"/>
    <w:p w14:paraId="03477097" w14:textId="77777777" w:rsidR="00000000" w:rsidRDefault="00DB4BBA">
      <w:pPr>
        <w:pStyle w:val="TableTitle"/>
      </w:pPr>
      <w:r>
        <w:t>Impact of water efficiency labelling on purchasing decision</w:t>
      </w:r>
    </w:p>
    <w:p w14:paraId="66B703CE" w14:textId="46E38D67" w:rsidR="00000000" w:rsidRDefault="00DB4BBA">
      <w:pPr>
        <w:pStyle w:val="TableText"/>
      </w:pPr>
      <w:r>
        <w:rPr>
          <w:noProof/>
          <w:lang w:eastAsia="en-AU"/>
        </w:rPr>
        <w:drawing>
          <wp:inline distT="0" distB="0" distL="0" distR="0" wp14:anchorId="467F25AF" wp14:editId="410A6578">
            <wp:extent cx="4686300" cy="1933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86300" cy="1933575"/>
                    </a:xfrm>
                    <a:prstGeom prst="rect">
                      <a:avLst/>
                    </a:prstGeom>
                    <a:noFill/>
                    <a:ln>
                      <a:noFill/>
                    </a:ln>
                  </pic:spPr>
                </pic:pic>
              </a:graphicData>
            </a:graphic>
          </wp:inline>
        </w:drawing>
      </w:r>
    </w:p>
    <w:p w14:paraId="1619E376" w14:textId="77777777" w:rsidR="00000000" w:rsidRDefault="00DB4BBA">
      <w:pPr>
        <w:pStyle w:val="TableSource"/>
      </w:pPr>
      <w:r>
        <w:t xml:space="preserve">Source: </w:t>
      </w:r>
      <w:r>
        <w:fldChar w:fldCharType="begin"/>
      </w:r>
      <w:r>
        <w:instrText xml:space="preserve"> ADDIN EN.CITE &lt;EndNote&gt;&lt;Cite&gt;&lt;Author&gt;Quantum&lt;/Author&gt;&lt;Year&gt;2008&lt;/Year&gt;&lt;RecNum&gt;80&lt;/RecNum&gt;&lt;record&gt;&lt;rec-number&gt;80&lt;/rec-number&gt;&lt;foreign-keys&gt;&lt;key app="EN" db-id="50s0sw00tv5rvlessrsvpfd52f0zefprpafd"&gt;80&lt;/key&gt;&lt;/foreign-keys&gt;&lt;ref-type name="Boo</w:instrText>
      </w:r>
      <w:r>
        <w:instrText>k"&gt;6&lt;/ref-type&gt;&lt;contributors&gt;&lt;authors&gt;&lt;author&gt;Quantum,&lt;/author&gt;&lt;/authors&gt;&lt;/contributors&gt;&lt;titles&gt;&lt;title&gt;Consumer Awareness and Use of The Water Efficiency Labelling and Standards (WELS) Label&lt;/title&gt;&lt;/titles&gt;&lt;dates&gt;&lt;year&gt;2008&lt;/year&gt;&lt;/dates&gt;&lt;pub-location&gt;Can</w:instrText>
      </w:r>
      <w:r>
        <w:instrText>berra&lt;/pub-location&gt;&lt;publisher&gt;Department of the Environment, Water, Heritage and the Arts&lt;/publisher&gt;&lt;urls&gt;&lt;/urls&gt;&lt;/record&gt;&lt;/Cite&gt;&lt;/EndNote&gt;</w:instrText>
      </w:r>
      <w:r>
        <w:fldChar w:fldCharType="separate"/>
      </w:r>
      <w:r>
        <w:t>(Quantum 2008)</w:t>
      </w:r>
      <w:r>
        <w:fldChar w:fldCharType="end"/>
      </w:r>
    </w:p>
    <w:p w14:paraId="7A37E661" w14:textId="77777777" w:rsidR="00000000" w:rsidRDefault="00DB4BBA">
      <w:pPr>
        <w:pStyle w:val="Text"/>
      </w:pPr>
      <w:r>
        <w:rPr>
          <w:lang w:val="en-GB"/>
        </w:rPr>
        <w:t xml:space="preserve">This survey is supported by another study conducted by BIS Shrapnel </w:t>
      </w:r>
      <w:r>
        <w:rPr>
          <w:lang w:val="en-GB"/>
        </w:rPr>
        <w:fldChar w:fldCharType="begin"/>
      </w:r>
      <w:r>
        <w:rPr>
          <w:lang w:val="en-GB"/>
        </w:rPr>
        <w:instrText xml:space="preserve"> ADDIN EN.CITE &lt;EndNote&gt;&lt;Cite</w:instrText>
      </w:r>
      <w:r>
        <w:rPr>
          <w:lang w:val="en-GB"/>
        </w:rPr>
        <w:instrText xml:space="preserve"> ExcludeAuth="1"&gt;&lt;Author&gt;BIS Shrapnel&lt;/Author&gt;&lt;Year&gt;2008&lt;/Year&gt;&lt;RecNum&gt;6&lt;/RecNum&gt;&lt;record&gt;&lt;rec-number&gt;6&lt;/rec-number&gt;&lt;foreign-keys&gt;&lt;key app="EN" db-id="50s0sw00tv5rvlessrsvpfd52f0zefprpafd"&gt;6&lt;/key&gt;&lt;/foreign-keys&gt;&lt;ref-type name="Report"&gt;27&lt;/ref-type&gt;&lt;contribu</w:instrText>
      </w:r>
      <w:r>
        <w:rPr>
          <w:lang w:val="en-GB"/>
        </w:rPr>
        <w:instrText>tors&gt;&lt;authors&gt;&lt;author&gt;BIS Shrapnel,,&lt;/author&gt;&lt;/authors&gt;&lt;/contributors&gt;&lt;titles&gt;&lt;title&gt;Energy Efficiency and Water Saving in Australian Households&lt;/title&gt;&lt;/titles&gt;&lt;dates&gt;&lt;year&gt;2008&lt;/year&gt;&lt;/dates&gt;&lt;pub-location&gt;Sydney&lt;/pub-location&gt;&lt;urls&gt;&lt;/urls&gt;&lt;/record&gt;&lt;/Cite</w:instrText>
      </w:r>
      <w:r>
        <w:rPr>
          <w:lang w:val="en-GB"/>
        </w:rPr>
        <w:instrText>&gt;&lt;/EndNote&gt;</w:instrText>
      </w:r>
      <w:r>
        <w:rPr>
          <w:lang w:val="en-GB"/>
        </w:rPr>
        <w:fldChar w:fldCharType="separate"/>
      </w:r>
      <w:r>
        <w:rPr>
          <w:lang w:val="en-GB"/>
        </w:rPr>
        <w:t>(2008)</w:t>
      </w:r>
      <w:r>
        <w:rPr>
          <w:lang w:val="en-GB"/>
        </w:rPr>
        <w:fldChar w:fldCharType="end"/>
      </w:r>
      <w:r>
        <w:rPr>
          <w:lang w:val="en-GB"/>
        </w:rPr>
        <w:t xml:space="preserve"> which found that consumers considered the water efficiency label of a product second only to the cost of a dishwasher or washing machine when making a purchase. Hence, for a large proportion of Australian society the provision of infor</w:t>
      </w:r>
      <w:r>
        <w:rPr>
          <w:lang w:val="en-GB"/>
        </w:rPr>
        <w:t>mation at the point of sale is sufficient for them to voluntarily consider and account for some or all of the social cost associated with inefficient water use when investing in new water using appliances. As the surveys also imply however, not all consume</w:t>
      </w:r>
      <w:r>
        <w:rPr>
          <w:lang w:val="en-GB"/>
        </w:rPr>
        <w:t>rs are motivated by the cost to the community of their water usage and there are limits to the extent of the social cost they are willing to voluntarily bear.</w:t>
      </w:r>
    </w:p>
    <w:p w14:paraId="4D8E0023" w14:textId="77777777" w:rsidR="00000000" w:rsidRDefault="00DB4BBA">
      <w:pPr>
        <w:pStyle w:val="Heading4"/>
        <w:rPr>
          <w:lang w:val="en-GB"/>
        </w:rPr>
      </w:pPr>
      <w:r>
        <w:rPr>
          <w:lang w:val="en-GB"/>
        </w:rPr>
        <w:t>Externalities</w:t>
      </w:r>
    </w:p>
    <w:p w14:paraId="5BA823F1" w14:textId="77777777" w:rsidR="00000000" w:rsidRDefault="00DB4BBA">
      <w:pPr>
        <w:pStyle w:val="Text"/>
        <w:rPr>
          <w:lang w:val="en-GB"/>
        </w:rPr>
      </w:pPr>
      <w:r>
        <w:rPr>
          <w:lang w:val="en-GB"/>
        </w:rPr>
        <w:t>Externalities occur when a transaction has an impact on a party that is not directl</w:t>
      </w:r>
      <w:r>
        <w:rPr>
          <w:lang w:val="en-GB"/>
        </w:rPr>
        <w:t>y involved. In the case of residential water in Australia, the price of water is a function of the cost of infrastructure and does not reflect the scarcity of the resource. This generates an external cost, as a consumer in the market does not bear all of t</w:t>
      </w:r>
      <w:r>
        <w:rPr>
          <w:lang w:val="en-GB"/>
        </w:rPr>
        <w:t>he costs of consuming water. The use of water by one consumer reduces the available supply of water for all and may lead to over</w:t>
      </w:r>
      <w:r>
        <w:rPr>
          <w:lang w:val="en-GB"/>
        </w:rPr>
        <w:noBreakHyphen/>
        <w:t>consumption. Over</w:t>
      </w:r>
      <w:r>
        <w:rPr>
          <w:lang w:val="en-GB"/>
        </w:rPr>
        <w:noBreakHyphen/>
        <w:t xml:space="preserve">consumption results in reduced security of supply for all and to government applying water restrictions that </w:t>
      </w:r>
      <w:r>
        <w:rPr>
          <w:lang w:val="en-GB"/>
        </w:rPr>
        <w:t>impact on the way everyone uses water. Thus a poorly functioning market, as with water, results in poor coordination of efficient supply and consumption decisions. Choices that alleviate demand pressures can also alleviate the problems associated with this</w:t>
      </w:r>
      <w:r>
        <w:rPr>
          <w:lang w:val="en-GB"/>
        </w:rPr>
        <w:t xml:space="preserve"> aspect of market failure.</w:t>
      </w:r>
    </w:p>
    <w:p w14:paraId="5C77BD99" w14:textId="77777777" w:rsidR="00000000" w:rsidRDefault="00DB4BBA">
      <w:pPr>
        <w:pStyle w:val="Text"/>
        <w:rPr>
          <w:lang w:val="en-GB"/>
        </w:rPr>
      </w:pPr>
      <w:r>
        <w:rPr>
          <w:lang w:val="en-GB"/>
        </w:rPr>
        <w:fldChar w:fldCharType="begin"/>
      </w:r>
      <w:r>
        <w:rPr>
          <w:lang w:val="en-GB"/>
        </w:rPr>
        <w:instrText xml:space="preserve"> REF _Ref103401796 \n \h </w:instrText>
      </w:r>
      <w:r>
        <w:rPr>
          <w:lang w:val="en-GB"/>
        </w:rPr>
      </w:r>
      <w:r>
        <w:rPr>
          <w:lang w:val="en-GB"/>
        </w:rPr>
        <w:fldChar w:fldCharType="separate"/>
      </w:r>
      <w:r>
        <w:rPr>
          <w:lang w:val="en-GB"/>
        </w:rPr>
        <w:t>Figure 4.3</w:t>
      </w:r>
      <w:r>
        <w:rPr>
          <w:lang w:val="en-GB"/>
        </w:rPr>
        <w:fldChar w:fldCharType="end"/>
      </w:r>
      <w:r>
        <w:rPr>
          <w:lang w:val="en-GB"/>
        </w:rPr>
        <w:t xml:space="preserve"> illustrates the gap between the private cost and the social cost that results from this kind of externality and the resulting </w:t>
      </w:r>
      <w:r>
        <w:rPr>
          <w:lang w:val="en-GB"/>
        </w:rPr>
        <w:t>over-consumption. If the consumers only take into account their own private cost, they will end up at price P</w:t>
      </w:r>
      <w:r>
        <w:rPr>
          <w:vertAlign w:val="subscript"/>
          <w:lang w:val="en-GB"/>
        </w:rPr>
        <w:t>p</w:t>
      </w:r>
      <w:r>
        <w:rPr>
          <w:lang w:val="en-GB"/>
        </w:rPr>
        <w:t xml:space="preserve"> and quantity Q</w:t>
      </w:r>
      <w:r>
        <w:rPr>
          <w:vertAlign w:val="subscript"/>
          <w:lang w:val="en-GB"/>
        </w:rPr>
        <w:t>p</w:t>
      </w:r>
      <w:r>
        <w:rPr>
          <w:lang w:val="en-GB"/>
        </w:rPr>
        <w:t>, instead of the more efficient price P</w:t>
      </w:r>
      <w:r>
        <w:rPr>
          <w:vertAlign w:val="subscript"/>
          <w:lang w:val="en-GB"/>
        </w:rPr>
        <w:t>s</w:t>
      </w:r>
      <w:r>
        <w:rPr>
          <w:lang w:val="en-GB"/>
        </w:rPr>
        <w:t xml:space="preserve"> and quantity Q</w:t>
      </w:r>
      <w:r>
        <w:rPr>
          <w:vertAlign w:val="subscript"/>
          <w:lang w:val="en-GB"/>
        </w:rPr>
        <w:t>s</w:t>
      </w:r>
      <w:r>
        <w:rPr>
          <w:lang w:val="en-GB"/>
        </w:rPr>
        <w:t>, P</w:t>
      </w:r>
      <w:r>
        <w:rPr>
          <w:vertAlign w:val="subscript"/>
          <w:lang w:val="en-GB"/>
        </w:rPr>
        <w:t>s</w:t>
      </w:r>
      <w:r>
        <w:rPr>
          <w:lang w:val="en-GB"/>
        </w:rPr>
        <w:t xml:space="preserve"> and Q</w:t>
      </w:r>
      <w:r>
        <w:rPr>
          <w:vertAlign w:val="subscript"/>
          <w:lang w:val="en-GB"/>
        </w:rPr>
        <w:t>s</w:t>
      </w:r>
      <w:r>
        <w:rPr>
          <w:lang w:val="en-GB"/>
        </w:rPr>
        <w:t xml:space="preserve"> reflect the idea that the marginal social benefit should equal</w:t>
      </w:r>
      <w:r>
        <w:rPr>
          <w:lang w:val="en-GB"/>
        </w:rPr>
        <w:t xml:space="preserve"> the marginal social cost. Under this paradigm, production should be increased only as long as the marginal social benefit exceeds the marginal social cost. The result is that a free market is inefficient since at the quantity Q</w:t>
      </w:r>
      <w:r>
        <w:rPr>
          <w:vertAlign w:val="subscript"/>
          <w:lang w:val="en-GB"/>
        </w:rPr>
        <w:t>p</w:t>
      </w:r>
      <w:r>
        <w:rPr>
          <w:lang w:val="en-GB"/>
        </w:rPr>
        <w:t>, the social benefit is les</w:t>
      </w:r>
      <w:r>
        <w:rPr>
          <w:lang w:val="en-GB"/>
        </w:rPr>
        <w:t>s than the social cost, so society as a whole would be better off if the goods between Q</w:t>
      </w:r>
      <w:r>
        <w:rPr>
          <w:vertAlign w:val="subscript"/>
          <w:lang w:val="en-GB"/>
        </w:rPr>
        <w:t>p</w:t>
      </w:r>
      <w:r>
        <w:rPr>
          <w:lang w:val="en-GB"/>
        </w:rPr>
        <w:t xml:space="preserve"> and Q</w:t>
      </w:r>
      <w:r>
        <w:rPr>
          <w:vertAlign w:val="subscript"/>
          <w:lang w:val="en-GB"/>
        </w:rPr>
        <w:t>s</w:t>
      </w:r>
      <w:r>
        <w:rPr>
          <w:lang w:val="en-GB"/>
        </w:rPr>
        <w:t xml:space="preserve"> had not been produced. In this instance, the problem is that people are buying and consuming too much water.</w:t>
      </w:r>
    </w:p>
    <w:p w14:paraId="78B189BE" w14:textId="77777777" w:rsidR="00000000" w:rsidRDefault="00DB4BBA">
      <w:pPr>
        <w:pStyle w:val="Heading6"/>
      </w:pPr>
      <w:bookmarkStart w:id="49" w:name="_Ref103401796"/>
    </w:p>
    <w:bookmarkEnd w:id="49"/>
    <w:p w14:paraId="4DFE4532" w14:textId="77777777" w:rsidR="00000000" w:rsidRDefault="00DB4BBA">
      <w:pPr>
        <w:pStyle w:val="TableTitle"/>
      </w:pPr>
      <w:r>
        <w:t>impact of negative externalities on consumption</w:t>
      </w:r>
    </w:p>
    <w:p w14:paraId="2EB15CB7" w14:textId="3CEA7DCB" w:rsidR="00000000" w:rsidRDefault="00DB4BBA">
      <w:pPr>
        <w:pStyle w:val="TableText"/>
      </w:pPr>
      <w:r>
        <w:rPr>
          <w:noProof/>
          <w:lang w:eastAsia="en-AU"/>
        </w:rPr>
        <w:drawing>
          <wp:inline distT="0" distB="0" distL="0" distR="0" wp14:anchorId="16D591C1" wp14:editId="36036FF3">
            <wp:extent cx="4676775" cy="2867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76775" cy="2867025"/>
                    </a:xfrm>
                    <a:prstGeom prst="rect">
                      <a:avLst/>
                    </a:prstGeom>
                    <a:noFill/>
                    <a:ln>
                      <a:noFill/>
                    </a:ln>
                  </pic:spPr>
                </pic:pic>
              </a:graphicData>
            </a:graphic>
          </wp:inline>
        </w:drawing>
      </w:r>
    </w:p>
    <w:p w14:paraId="653EB23E" w14:textId="77777777" w:rsidR="00000000" w:rsidRDefault="00DB4BBA">
      <w:pPr>
        <w:pStyle w:val="TableSource"/>
      </w:pPr>
      <w:r>
        <w:t xml:space="preserve"> Source: (Allen Consulting Group)</w:t>
      </w:r>
    </w:p>
    <w:p w14:paraId="3148E597" w14:textId="77777777" w:rsidR="00000000" w:rsidRDefault="00DB4BBA">
      <w:pPr>
        <w:pStyle w:val="Heading4"/>
      </w:pPr>
      <w:r>
        <w:t>Information asymmetries</w:t>
      </w:r>
    </w:p>
    <w:p w14:paraId="549CAF5D" w14:textId="77777777" w:rsidR="00000000" w:rsidRDefault="00DB4BBA">
      <w:pPr>
        <w:pStyle w:val="Text"/>
        <w:rPr>
          <w:lang w:val="en-GB"/>
        </w:rPr>
      </w:pPr>
      <w:r>
        <w:rPr>
          <w:lang w:val="en-GB"/>
        </w:rPr>
        <w:t>The lack of information, or the existence of barriers and costs associated with ob</w:t>
      </w:r>
      <w:r>
        <w:rPr>
          <w:lang w:val="en-GB"/>
        </w:rPr>
        <w:t>taining that information, can lead to sub</w:t>
      </w:r>
      <w:r>
        <w:rPr>
          <w:lang w:val="en-GB"/>
        </w:rPr>
        <w:noBreakHyphen/>
        <w:t>optimal market outcomes. In order to achieve an efficient outcome, markets rely on all parties having sufficient (but not necessarily perfect) information to make decisions in their best interests. In some cases, i</w:t>
      </w:r>
      <w:r>
        <w:rPr>
          <w:lang w:val="en-GB"/>
        </w:rPr>
        <w:t>nformation is not just imperfect, but is asymmetric. Information asymmetries occur when one party in the market, usually the buyer, has less information than another – usually the seller. It is a further complication to the public good dimension of informa</w:t>
      </w:r>
      <w:r>
        <w:rPr>
          <w:lang w:val="en-GB"/>
        </w:rPr>
        <w:t>tion provision because it recognises that some suppliers (with inferior goods) may be reluctant to provide information that is not favourable to their product.</w:t>
      </w:r>
    </w:p>
    <w:p w14:paraId="1A007700" w14:textId="77777777" w:rsidR="00000000" w:rsidRDefault="00DB4BBA">
      <w:pPr>
        <w:pStyle w:val="Text"/>
        <w:rPr>
          <w:lang w:val="en-GB"/>
        </w:rPr>
      </w:pPr>
      <w:r>
        <w:rPr>
          <w:lang w:val="en-GB"/>
        </w:rPr>
        <w:t>This information asymmetry problem can create a situation of ‘adverse selection’. Adverse select</w:t>
      </w:r>
      <w:r>
        <w:rPr>
          <w:lang w:val="en-GB"/>
        </w:rPr>
        <w:t>ion occurs when a buyer is not able to differentiate between high quality and low quality goods in the market at the time of purchase, and perhaps also not until a significant period of time after purchase. In the presence of this uncertainty, high quality</w:t>
      </w:r>
      <w:r>
        <w:rPr>
          <w:lang w:val="en-GB"/>
        </w:rPr>
        <w:t xml:space="preserve"> products can be driven out of the market. </w:t>
      </w:r>
    </w:p>
    <w:p w14:paraId="1EE20A47" w14:textId="77777777" w:rsidR="00000000" w:rsidRDefault="00DB4BBA">
      <w:pPr>
        <w:pStyle w:val="Text"/>
        <w:rPr>
          <w:lang w:val="en-GB"/>
        </w:rPr>
      </w:pPr>
      <w:r>
        <w:rPr>
          <w:lang w:val="en-GB"/>
        </w:rPr>
        <w:t xml:space="preserve">This phenomenon is known as the ‘market for lemons’, first noted by Akerlof </w:t>
      </w:r>
      <w:r>
        <w:rPr>
          <w:lang w:val="en-GB"/>
        </w:rPr>
        <w:fldChar w:fldCharType="begin"/>
      </w:r>
      <w:r>
        <w:rPr>
          <w:lang w:val="en-GB"/>
        </w:rPr>
        <w:instrText xml:space="preserve"> ADDIN EN.CITE &lt;EndNote&gt;&lt;Cite ExcludeAuth="1"&gt;&lt;Author&gt;Akerlof&lt;/Author&gt;&lt;Year&gt;1970&lt;/Year&gt;&lt;RecNum&gt;128&lt;/RecNum&gt;&lt;record&gt;&lt;rec-number&gt;128&lt;/rec-</w:instrText>
      </w:r>
      <w:r>
        <w:rPr>
          <w:lang w:val="en-GB"/>
        </w:rPr>
        <w:instrText xml:space="preserve">number&gt;&lt;foreign-keys&gt;&lt;key app="EN" db-id="50s0sw00tv5rvlessrsvpfd52f0zefprpafd"&gt;128&lt;/key&gt;&lt;/foreign-keys&gt;&lt;ref-type name="Journal Article"&gt;17&lt;/ref-type&gt;&lt;contributors&gt;&lt;authors&gt;&lt;author&gt;Akerlof, G.&lt;/author&gt;&lt;/authors&gt;&lt;/contributors&gt;&lt;titles&gt;&lt;title&gt;The market for </w:instrText>
      </w:r>
      <w:r>
        <w:rPr>
          <w:lang w:val="en-GB"/>
        </w:rPr>
        <w:instrText>lemons: Quality uncertainty and the market mechanism&lt;/title&gt;&lt;secondary-title&gt;Quarterly Journal of Economics&lt;/secondary-title&gt;&lt;/titles&gt;&lt;periodical&gt;&lt;full-title&gt;Quarterly Journal of Economics&lt;/full-title&gt;&lt;/periodical&gt;&lt;pages&gt;488-500&lt;/pages&gt;&lt;volume&gt;84&lt;/volume&gt;&lt;</w:instrText>
      </w:r>
      <w:r>
        <w:rPr>
          <w:lang w:val="en-GB"/>
        </w:rPr>
        <w:instrText>number&gt;3&lt;/number&gt;&lt;dates&gt;&lt;year&gt;1970&lt;/year&gt;&lt;/dates&gt;&lt;urls&gt;&lt;/urls&gt;&lt;/record&gt;&lt;/Cite&gt;&lt;/EndNote&gt;</w:instrText>
      </w:r>
      <w:r>
        <w:rPr>
          <w:lang w:val="en-GB"/>
        </w:rPr>
        <w:fldChar w:fldCharType="separate"/>
      </w:r>
      <w:r>
        <w:rPr>
          <w:lang w:val="en-GB"/>
        </w:rPr>
        <w:t>(1970)</w:t>
      </w:r>
      <w:r>
        <w:rPr>
          <w:lang w:val="en-GB"/>
        </w:rPr>
        <w:fldChar w:fldCharType="end"/>
      </w:r>
      <w:r>
        <w:rPr>
          <w:lang w:val="en-GB"/>
        </w:rPr>
        <w:t>, who explained how the pressure of competition, in the presence of information asymmetries, may cause quality to deteriorate to such low levels that the marke</w:t>
      </w:r>
      <w:r>
        <w:rPr>
          <w:lang w:val="en-GB"/>
        </w:rPr>
        <w:t>t may fail to exist. This concept is most commonly described using the example of a used car market, where there are both good quality cars and poor quality cars (‘lemons’). Purchasers know that there is a risk that they will purchase a ‘lemon’, but they h</w:t>
      </w:r>
      <w:r>
        <w:rPr>
          <w:lang w:val="en-GB"/>
        </w:rPr>
        <w:t>ave no reasonable means of identifying the ‘lemons’ from the high quality cars until they have driven the car for several months after purchase (in the absence of any other third party assistance). This scenario can lead to a less than efficient social out</w:t>
      </w:r>
      <w:r>
        <w:rPr>
          <w:lang w:val="en-GB"/>
        </w:rPr>
        <w:t>come because:</w:t>
      </w:r>
    </w:p>
    <w:p w14:paraId="60B10003" w14:textId="77777777" w:rsidR="00000000" w:rsidRDefault="00DB4BBA">
      <w:pPr>
        <w:pStyle w:val="TextDotPoint"/>
        <w:tabs>
          <w:tab w:val="num" w:pos="360"/>
        </w:tabs>
        <w:ind w:left="360" w:hanging="360"/>
        <w:rPr>
          <w:lang w:val="en-GB"/>
        </w:rPr>
      </w:pPr>
      <w:r>
        <w:rPr>
          <w:lang w:val="en-GB"/>
        </w:rPr>
        <w:lastRenderedPageBreak/>
        <w:t>buyers do not have sufficient information to make a rational informed decision about quality of a good, and therefore risk inadvertently purchasing a ‘lemon’;</w:t>
      </w:r>
    </w:p>
    <w:p w14:paraId="015A521A" w14:textId="77777777" w:rsidR="00000000" w:rsidRDefault="00DB4BBA">
      <w:pPr>
        <w:pStyle w:val="TextDotPoint"/>
        <w:tabs>
          <w:tab w:val="num" w:pos="360"/>
        </w:tabs>
        <w:ind w:left="360" w:hanging="360"/>
        <w:outlineLvl w:val="0"/>
        <w:rPr>
          <w:lang w:val="en-GB"/>
        </w:rPr>
      </w:pPr>
      <w:r>
        <w:rPr>
          <w:lang w:val="en-GB"/>
        </w:rPr>
        <w:t>as a result, consumers will offer a price which is less than what they would be</w:t>
      </w:r>
      <w:r>
        <w:rPr>
          <w:lang w:val="en-GB"/>
        </w:rPr>
        <w:t xml:space="preserve"> willing to pay for the high quality product, as they are uncertain as to the quality of the product that they will receive; and </w:t>
      </w:r>
    </w:p>
    <w:p w14:paraId="010C6F37" w14:textId="77777777" w:rsidR="00000000" w:rsidRDefault="00DB4BBA">
      <w:pPr>
        <w:pStyle w:val="TextDotPoint"/>
        <w:tabs>
          <w:tab w:val="num" w:pos="360"/>
        </w:tabs>
        <w:ind w:left="360" w:hanging="360"/>
        <w:rPr>
          <w:lang w:val="en-GB"/>
        </w:rPr>
      </w:pPr>
      <w:r>
        <w:rPr>
          <w:lang w:val="en-GB"/>
        </w:rPr>
        <w:t>this, in turn, drives higher quality goods out of the market (as the price is too low to make a positive return).</w:t>
      </w:r>
    </w:p>
    <w:p w14:paraId="55133432" w14:textId="77777777" w:rsidR="00000000" w:rsidRDefault="00DB4BBA">
      <w:pPr>
        <w:pStyle w:val="Text"/>
        <w:rPr>
          <w:lang w:val="en-GB"/>
        </w:rPr>
      </w:pPr>
      <w:r>
        <w:rPr>
          <w:lang w:val="en-GB"/>
        </w:rPr>
        <w:t>The result is that consumers, by favouring a lower price given the risk of purchasing a ‘lemon’ inadvertently increase their chances of purchasing a ‘lemon’, as at the lower price only ‘lemons’ will be sold. At the extreme, only the lowest quality products</w:t>
      </w:r>
      <w:r>
        <w:rPr>
          <w:lang w:val="en-GB"/>
        </w:rPr>
        <w:t xml:space="preserve"> will be sold, and all higher quality products will be removed from the market. Warranties can alleviate, but not totally correct, this problem because they themselves suffer from enforcement costs. These problems (and transaction costs) are a fact of life</w:t>
      </w:r>
      <w:r>
        <w:rPr>
          <w:lang w:val="en-GB"/>
        </w:rPr>
        <w:t>. But that does not mean policymakers should not continuously explore options for reducing these costs and their impacts.</w:t>
      </w:r>
    </w:p>
    <w:p w14:paraId="5CC655BD" w14:textId="77777777" w:rsidR="00000000" w:rsidRDefault="00DB4BBA">
      <w:pPr>
        <w:pStyle w:val="Heading5"/>
        <w:rPr>
          <w:lang w:val="en-GB"/>
        </w:rPr>
      </w:pPr>
      <w:r>
        <w:rPr>
          <w:lang w:val="en-GB"/>
        </w:rPr>
        <w:t>Adverse selection in products that use water</w:t>
      </w:r>
    </w:p>
    <w:p w14:paraId="3FD410A6" w14:textId="77777777" w:rsidR="00000000" w:rsidRDefault="00DB4BBA">
      <w:pPr>
        <w:pStyle w:val="Text"/>
        <w:rPr>
          <w:lang w:val="en-GB"/>
        </w:rPr>
      </w:pPr>
      <w:r>
        <w:rPr>
          <w:lang w:val="en-GB"/>
        </w:rPr>
        <w:t>Adverse selection is most common for those products where it is difficult for consumers to ascertain quality at the time of purchase (and even for some period after purchase), and where they do not have sufficient prior experience on which to base their de</w:t>
      </w:r>
      <w:r>
        <w:rPr>
          <w:lang w:val="en-GB"/>
        </w:rPr>
        <w:t>cision. There are a number of characteristics of water efficient products that increase the risk of adverse selection in the market for products that use water:</w:t>
      </w:r>
    </w:p>
    <w:p w14:paraId="458F73BD" w14:textId="77777777" w:rsidR="00000000" w:rsidRDefault="00DB4BBA">
      <w:pPr>
        <w:pStyle w:val="TextDotPoint"/>
        <w:rPr>
          <w:lang w:val="en-GB"/>
        </w:rPr>
      </w:pPr>
      <w:r>
        <w:rPr>
          <w:lang w:val="en-GB"/>
        </w:rPr>
        <w:t>water efficiency is a difficult attribute to identify without specialist advice;</w:t>
      </w:r>
    </w:p>
    <w:p w14:paraId="2B5805C9" w14:textId="77777777" w:rsidR="00000000" w:rsidRDefault="00DB4BBA">
      <w:pPr>
        <w:pStyle w:val="TextDotPoint"/>
        <w:rPr>
          <w:lang w:val="en-GB"/>
        </w:rPr>
      </w:pPr>
      <w:r>
        <w:rPr>
          <w:lang w:val="en-GB"/>
        </w:rPr>
        <w:t>many produ</w:t>
      </w:r>
      <w:r>
        <w:rPr>
          <w:lang w:val="en-GB"/>
        </w:rPr>
        <w:t xml:space="preserve">cts that use water do so in a way that is not obvious or measurable by the user in the absence of information or labelling. Also, with some products, once they are installed, consumers may forget or not pay any attention to the water usage associated with </w:t>
      </w:r>
      <w:r>
        <w:rPr>
          <w:lang w:val="en-GB"/>
        </w:rPr>
        <w:t>each usage or event; and</w:t>
      </w:r>
    </w:p>
    <w:p w14:paraId="6AE2A79D" w14:textId="77777777" w:rsidR="00000000" w:rsidRDefault="00DB4BBA">
      <w:pPr>
        <w:pStyle w:val="TextDotPoint"/>
        <w:rPr>
          <w:lang w:val="en-GB"/>
        </w:rPr>
      </w:pPr>
      <w:r>
        <w:rPr>
          <w:lang w:val="en-GB"/>
        </w:rPr>
        <w:t>products that use water often have a long useful life and the products available are likely to have undergone significant technical change. As such, the purchaser cannot rely on significant previous personal experience to determi</w:t>
      </w:r>
      <w:r>
        <w:rPr>
          <w:lang w:val="en-GB"/>
        </w:rPr>
        <w:t>ne the quality of the good.</w:t>
      </w:r>
    </w:p>
    <w:p w14:paraId="144529B3" w14:textId="77777777" w:rsidR="00000000" w:rsidRDefault="00DB4BBA">
      <w:pPr>
        <w:pStyle w:val="Text"/>
        <w:outlineLvl w:val="0"/>
        <w:rPr>
          <w:lang w:val="en-GB"/>
        </w:rPr>
      </w:pPr>
      <w:r>
        <w:rPr>
          <w:lang w:val="en-GB"/>
        </w:rPr>
        <w:t xml:space="preserve">In markets where there are information asymmetries, adverse selection can drive down the degree of water efficiency that voluntarily occurs. </w:t>
      </w:r>
    </w:p>
    <w:p w14:paraId="3C5D6EA7" w14:textId="77777777" w:rsidR="00000000" w:rsidRDefault="00DB4BBA">
      <w:pPr>
        <w:pStyle w:val="Heading3"/>
        <w:rPr>
          <w:lang w:val="en-GB"/>
        </w:rPr>
      </w:pPr>
      <w:bookmarkStart w:id="50" w:name="_Toc115836307"/>
      <w:bookmarkStart w:id="51" w:name="_Toc118523892"/>
      <w:r>
        <w:rPr>
          <w:lang w:val="en-GB"/>
        </w:rPr>
        <w:t>The problem</w:t>
      </w:r>
      <w:bookmarkEnd w:id="50"/>
      <w:bookmarkEnd w:id="51"/>
    </w:p>
    <w:p w14:paraId="676AC01A" w14:textId="77777777" w:rsidR="00000000" w:rsidRDefault="00DB4BBA">
      <w:pPr>
        <w:pStyle w:val="Text"/>
        <w:rPr>
          <w:lang w:val="en-GB"/>
        </w:rPr>
      </w:pPr>
      <w:r>
        <w:rPr>
          <w:lang w:val="en-GB"/>
        </w:rPr>
        <w:t>In this instance t</w:t>
      </w:r>
      <w:r>
        <w:rPr>
          <w:lang w:val="en-GB"/>
        </w:rPr>
        <w:t>he problem is defined as unequal access or the absence of, information on water use and efficiency of domestic irrigation controllers. In order to assess the extent of this problem it is necessary to quantify the variation in water efficiency performance b</w:t>
      </w:r>
      <w:r>
        <w:rPr>
          <w:lang w:val="en-GB"/>
        </w:rPr>
        <w:t>etween different models.</w:t>
      </w:r>
    </w:p>
    <w:p w14:paraId="05589192" w14:textId="77777777" w:rsidR="00000000" w:rsidRDefault="00DB4BBA">
      <w:pPr>
        <w:pStyle w:val="Heading3"/>
        <w:rPr>
          <w:lang w:val="en-GB"/>
        </w:rPr>
      </w:pPr>
      <w:bookmarkStart w:id="52" w:name="_Toc118523893"/>
      <w:r>
        <w:rPr>
          <w:lang w:val="en-GB"/>
        </w:rPr>
        <w:t>Water efficiency performance of domestic irrigation controllers</w:t>
      </w:r>
      <w:bookmarkEnd w:id="52"/>
    </w:p>
    <w:p w14:paraId="31D545A3" w14:textId="77777777" w:rsidR="00000000" w:rsidRDefault="00DB4BBA">
      <w:pPr>
        <w:pStyle w:val="Text"/>
        <w:rPr>
          <w:lang w:val="en-GB"/>
        </w:rPr>
      </w:pPr>
      <w:r>
        <w:rPr>
          <w:lang w:val="en-GB"/>
        </w:rPr>
        <w:t>At this point in time, there are no substantial or independent research on the amounts and/or contributors of water wastage within a dome</w:t>
      </w:r>
      <w:r>
        <w:rPr>
          <w:lang w:val="en-GB"/>
        </w:rPr>
        <w:t>stic irrigation system. However, domestic irrigation manufacturers cite the following statistics:</w:t>
      </w:r>
    </w:p>
    <w:p w14:paraId="5DDD4F83" w14:textId="77777777" w:rsidR="00000000" w:rsidRDefault="00DB4BBA">
      <w:pPr>
        <w:pStyle w:val="TextDotPoint"/>
        <w:rPr>
          <w:lang w:val="en-GB"/>
        </w:rPr>
      </w:pPr>
      <w:r>
        <w:rPr>
          <w:lang w:val="en-GB"/>
        </w:rPr>
        <w:t xml:space="preserve">households typically over-irrigate by up to 300 per cent </w:t>
      </w:r>
      <w:r>
        <w:rPr>
          <w:lang w:val="en-GB"/>
        </w:rPr>
        <w:fldChar w:fldCharType="begin"/>
      </w:r>
      <w:r>
        <w:rPr>
          <w:lang w:val="en-GB"/>
        </w:rPr>
        <w:instrText xml:space="preserve"> ADDIN EN.CITE &lt;EndNote&gt;&lt;Cite&gt;&lt;Author&gt;Aquaspy&lt;/Author&gt;&lt;Year&gt;2009&lt;/Year&gt;&lt;RecNum&gt;118&lt;/RecNum&gt;&lt;Suffix&gt;</w:instrText>
      </w:r>
      <w:r>
        <w:rPr>
          <w:lang w:val="en-GB"/>
        </w:rPr>
        <w:instrText>– it is not clear that this is referring to the Australian setting&lt;/Suffix&gt;&lt;record&gt;&lt;rec-number&gt;118&lt;/rec-number&gt;&lt;foreign-keys&gt;&lt;key app="EN" db-id="50s0sw00tv5rvlessrsvpfd52f0zefprpafd"&gt;118&lt;/key&gt;&lt;/foreign-keys&gt;&lt;ref-type name="Web Page"&gt;12&lt;/ref-type&gt;&lt;contribu</w:instrText>
      </w:r>
      <w:r>
        <w:rPr>
          <w:lang w:val="en-GB"/>
        </w:rPr>
        <w:instrText>tors&gt;&lt;authors&gt;&lt;author&gt;Aquaspy&lt;/author&gt;&lt;/authors&gt;&lt;/contributors&gt;&lt;titles&gt;&lt;title&gt;Water Management Solutions for Urban Landscape and Turf &lt;/title&gt;&lt;/titles&gt;&lt;volume&gt;2009&lt;/volume&gt;&lt;number&gt;28 July&lt;/number&gt;&lt;dates&gt;&lt;year&gt;2009&lt;/year&gt;&lt;/dates&gt;&lt;urls&gt;&lt;related-urls&gt;&lt;url&gt;htt</w:instrText>
      </w:r>
      <w:r>
        <w:rPr>
          <w:lang w:val="en-GB"/>
        </w:rPr>
        <w:instrText>p://www.aquaspy.com/pudCMS/pudAsset.cfm?id=545&lt;/url&gt;&lt;/related-urls&gt;&lt;/urls&gt;&lt;/record&gt;&lt;/Cite&gt;&lt;/EndNote&gt;</w:instrText>
      </w:r>
      <w:r>
        <w:rPr>
          <w:lang w:val="en-GB"/>
        </w:rPr>
        <w:fldChar w:fldCharType="separate"/>
      </w:r>
      <w:r>
        <w:rPr>
          <w:lang w:val="en-GB"/>
        </w:rPr>
        <w:t>(Aquaspy 2009)</w:t>
      </w:r>
      <w:r>
        <w:rPr>
          <w:lang w:val="en-GB"/>
        </w:rPr>
        <w:fldChar w:fldCharType="end"/>
      </w:r>
      <w:r>
        <w:rPr>
          <w:lang w:val="en-GB"/>
        </w:rPr>
        <w:t xml:space="preserve">; </w:t>
      </w:r>
    </w:p>
    <w:p w14:paraId="0E403181" w14:textId="77777777" w:rsidR="00000000" w:rsidRDefault="00DB4BBA">
      <w:pPr>
        <w:pStyle w:val="TextDotPoint"/>
        <w:rPr>
          <w:lang w:val="en-GB"/>
        </w:rPr>
      </w:pPr>
      <w:r>
        <w:rPr>
          <w:lang w:val="en-GB"/>
        </w:rPr>
        <w:lastRenderedPageBreak/>
        <w:t xml:space="preserve">weather/soil moisture sensitive systems can improve efficiency by: </w:t>
      </w:r>
    </w:p>
    <w:p w14:paraId="4FB7DE54" w14:textId="77777777" w:rsidR="00000000" w:rsidRDefault="00DB4BBA">
      <w:pPr>
        <w:pStyle w:val="TextDashPoint"/>
        <w:rPr>
          <w:lang w:val="en-GB"/>
        </w:rPr>
      </w:pPr>
      <w:r>
        <w:rPr>
          <w:lang w:val="en-GB"/>
        </w:rPr>
        <w:t xml:space="preserve">16 per cent </w:t>
      </w:r>
      <w:r>
        <w:rPr>
          <w:lang w:val="en-GB"/>
        </w:rPr>
        <w:fldChar w:fldCharType="begin"/>
      </w:r>
      <w:r>
        <w:rPr>
          <w:lang w:val="en-GB"/>
        </w:rPr>
        <w:instrText xml:space="preserve"> ADDIN EN.CITE &lt;EndNote&gt;&lt;Cite&gt;&lt;Author&gt;Colorado Spri</w:instrText>
      </w:r>
      <w:r>
        <w:rPr>
          <w:lang w:val="en-GB"/>
        </w:rPr>
        <w:instrText>ngs Utilities&lt;/Author&gt;&lt;Year&gt;2009&lt;/Year&gt;&lt;RecNum&gt;117&lt;/RecNum&gt;&lt;record&gt;&lt;rec-number&gt;117&lt;/rec-number&gt;&lt;foreign-keys&gt;&lt;key app="EN" db-id="50s0sw00tv5rvlessrsvpfd52f0zefprpafd"&gt;117&lt;/key&gt;&lt;/foreign-keys&gt;&lt;ref-type name="Web Page"&gt;12&lt;/ref-type&gt;&lt;contributors&gt;&lt;authors&gt;&lt;a</w:instrText>
      </w:r>
      <w:r>
        <w:rPr>
          <w:lang w:val="en-GB"/>
        </w:rPr>
        <w:instrText>uthor&gt;Colorado Springs Utilities,&lt;/author&gt;&lt;/authors&gt;&lt;/contributors&gt;&lt;titles&gt;&lt;title&gt;Irrigation Equipment Rebate&lt;/title&gt;&lt;/titles&gt;&lt;volume&gt;2009&lt;/volume&gt;&lt;number&gt;28 July&lt;/number&gt;&lt;dates&gt;&lt;year&gt;2009&lt;/year&gt;&lt;/dates&gt;&lt;urls&gt;&lt;related-urls&gt;&lt;url&gt;http://www.csu.org/business/</w:instrText>
      </w:r>
      <w:r>
        <w:rPr>
          <w:lang w:val="en-GB"/>
        </w:rPr>
        <w:instrText>greenback/rebates/irrigation/item1320.html&lt;/url&gt;&lt;/related-urls&gt;&lt;/urls&gt;&lt;/record&gt;&lt;/Cite&gt;&lt;/EndNote&gt;</w:instrText>
      </w:r>
      <w:r>
        <w:rPr>
          <w:lang w:val="en-GB"/>
        </w:rPr>
        <w:fldChar w:fldCharType="separate"/>
      </w:r>
      <w:r>
        <w:rPr>
          <w:lang w:val="en-GB"/>
        </w:rPr>
        <w:t>(Colorado Springs Utilities 2009)</w:t>
      </w:r>
      <w:r>
        <w:rPr>
          <w:lang w:val="en-GB"/>
        </w:rPr>
        <w:fldChar w:fldCharType="end"/>
      </w:r>
      <w:r>
        <w:rPr>
          <w:lang w:val="en-GB"/>
        </w:rPr>
        <w:t>;</w:t>
      </w:r>
    </w:p>
    <w:p w14:paraId="5BD92CC2" w14:textId="77777777" w:rsidR="00000000" w:rsidRDefault="00DB4BBA">
      <w:pPr>
        <w:pStyle w:val="TextDashPoint"/>
        <w:rPr>
          <w:lang w:val="en-GB"/>
        </w:rPr>
      </w:pPr>
      <w:r>
        <w:rPr>
          <w:lang w:val="en-GB"/>
        </w:rPr>
        <w:t xml:space="preserve">between 20 and 70 per cent </w:t>
      </w:r>
      <w:r>
        <w:rPr>
          <w:lang w:val="en-GB"/>
        </w:rPr>
        <w:fldChar w:fldCharType="begin"/>
      </w:r>
      <w:r>
        <w:rPr>
          <w:lang w:val="en-GB"/>
        </w:rPr>
        <w:instrText xml:space="preserve"> ADDIN EN.CITE &lt;EndNote&gt;&lt;Cite&gt;&lt;Author&gt;Aquaspy&lt;/Author&gt;&lt;Year&gt;2009&lt;/Year&gt;&lt;RecNum&gt;118&lt;/RecNum&gt;&lt;record&gt;&lt;rec-number&gt;118&lt;/rec-number&gt;&lt;foreign-keys&gt;&lt;key app="EN" db-id="50s0sw00tv5rvlessrsvpfd52f0zefprpafd"&gt;118&lt;/key&gt;&lt;/foreign-keys&gt;&lt;ref-type name="Web Page"&gt;12&lt;/re</w:instrText>
      </w:r>
      <w:r>
        <w:rPr>
          <w:lang w:val="en-GB"/>
        </w:rPr>
        <w:instrText>f-type&gt;&lt;contributors&gt;&lt;authors&gt;&lt;author&gt;Aquaspy&lt;/author&gt;&lt;/authors&gt;&lt;/contributors&gt;&lt;titles&gt;&lt;title&gt;Water Management Solutions for Urban Landscape and Turf &lt;/title&gt;&lt;/titles&gt;&lt;volume&gt;2009&lt;/volume&gt;&lt;number&gt;28 July&lt;/number&gt;&lt;dates&gt;&lt;year&gt;2009&lt;/year&gt;&lt;/dates&gt;&lt;urls&gt;&lt;relat</w:instrText>
      </w:r>
      <w:r>
        <w:rPr>
          <w:lang w:val="en-GB"/>
        </w:rPr>
        <w:instrText>ed-urls&gt;&lt;url&gt;http://www.aquaspy.com/pudCMS/pudAsset.cfm?id=545&lt;/url&gt;&lt;/related-urls&gt;&lt;/urls&gt;&lt;/record&gt;&lt;/Cite&gt;&lt;/EndNote&gt;</w:instrText>
      </w:r>
      <w:r>
        <w:rPr>
          <w:lang w:val="en-GB"/>
        </w:rPr>
        <w:fldChar w:fldCharType="separate"/>
      </w:r>
      <w:r>
        <w:rPr>
          <w:lang w:val="en-GB"/>
        </w:rPr>
        <w:t>(Aquaspy 2009)</w:t>
      </w:r>
      <w:r>
        <w:rPr>
          <w:lang w:val="en-GB"/>
        </w:rPr>
        <w:fldChar w:fldCharType="end"/>
      </w:r>
      <w:r>
        <w:rPr>
          <w:lang w:val="en-GB"/>
        </w:rPr>
        <w:t>; and</w:t>
      </w:r>
    </w:p>
    <w:p w14:paraId="3596EC10" w14:textId="77777777" w:rsidR="00000000" w:rsidRDefault="00DB4BBA">
      <w:pPr>
        <w:pStyle w:val="TextDotPoint"/>
        <w:rPr>
          <w:lang w:val="en-GB"/>
        </w:rPr>
      </w:pPr>
      <w:r>
        <w:rPr>
          <w:lang w:val="en-GB"/>
        </w:rPr>
        <w:t>drip delivery systems are estimated to use between 10 and 33 per cent of water used by flood irrigation and sprinkl</w:t>
      </w:r>
      <w:r>
        <w:rPr>
          <w:lang w:val="en-GB"/>
        </w:rPr>
        <w:t xml:space="preserve">er systems respectively </w:t>
      </w:r>
      <w:r>
        <w:rPr>
          <w:lang w:val="en-GB"/>
        </w:rPr>
        <w:fldChar w:fldCharType="begin"/>
      </w:r>
      <w:r>
        <w:rPr>
          <w:lang w:val="en-GB"/>
        </w:rPr>
        <w:instrText xml:space="preserve"> ADDIN EN.CITE &lt;EndNote&gt;&lt;Cite&gt;&lt;Author&gt;Zwar&lt;/Author&gt;&lt;Year&gt;2004&lt;/Year&gt;&lt;RecNum&gt;126&lt;/RecNum&gt;&lt;record&gt;&lt;rec-number&gt;126&lt;/rec-number&gt;&lt;foreign-keys&gt;&lt;key app="EN" db-id="50s0sw00tv5rvlessrsvpfd52f0zefprpafd"&gt;126&lt;/key&gt;&lt;/foreign-keys&gt;&lt;ref-type n</w:instrText>
      </w:r>
      <w:r>
        <w:rPr>
          <w:lang w:val="en-GB"/>
        </w:rPr>
        <w:instrText>ame="Web Page"&gt;12&lt;/ref-type&gt;&lt;contributors&gt;&lt;authors&gt;&lt;author&gt;J.R. Zwar&lt;/author&gt;&lt;/authors&gt;&lt;/contributors&gt;&lt;titles&gt;&lt;title&gt;Water sensitive urban design: A perspective from outback South Australia&lt;/title&gt;&lt;/titles&gt;&lt;volume&gt;2009&lt;/volume&gt;&lt;number&gt;28 July&lt;/number&gt;&lt;date</w:instrText>
      </w:r>
      <w:r>
        <w:rPr>
          <w:lang w:val="en-GB"/>
        </w:rPr>
        <w:instrText>s&gt;&lt;year&gt;2004&lt;/year&gt;&lt;/dates&gt;&lt;urls&gt;&lt;related-urls&gt;&lt;url&gt;http://www.wsud.org/downloads/Info%20Exchange%20&amp;amp;%20Lit/WSUD_04_Conf_Papers/WS040023.PDF&lt;/url&gt;&lt;/related-urls&gt;&lt;/urls&gt;&lt;/record&gt;&lt;/Cite&gt;&lt;/EndNote&gt;</w:instrText>
      </w:r>
      <w:r>
        <w:rPr>
          <w:lang w:val="en-GB"/>
        </w:rPr>
        <w:fldChar w:fldCharType="separate"/>
      </w:r>
      <w:r>
        <w:rPr>
          <w:lang w:val="en-GB"/>
        </w:rPr>
        <w:t>(Zwar 2004)</w:t>
      </w:r>
      <w:r>
        <w:rPr>
          <w:lang w:val="en-GB"/>
        </w:rPr>
        <w:fldChar w:fldCharType="end"/>
      </w:r>
      <w:r>
        <w:rPr>
          <w:lang w:val="en-GB"/>
        </w:rPr>
        <w:t>.</w:t>
      </w:r>
    </w:p>
    <w:p w14:paraId="79EAF6A1" w14:textId="77777777" w:rsidR="00000000" w:rsidRDefault="00DB4BBA">
      <w:pPr>
        <w:pStyle w:val="Text"/>
        <w:rPr>
          <w:rFonts w:cs="Arial"/>
          <w:lang w:val="en-US"/>
        </w:rPr>
      </w:pPr>
      <w:r>
        <w:rPr>
          <w:rFonts w:cs="Arial"/>
          <w:lang w:val="en-US"/>
        </w:rPr>
        <w:t>Consultations undertaken as part of the pr</w:t>
      </w:r>
      <w:r>
        <w:rPr>
          <w:rFonts w:cs="Arial"/>
          <w:lang w:val="en-US"/>
        </w:rPr>
        <w:t>eparation for this consultation paper indicated that there are likely to be variations in the level of water efficiency that may be achieved in domestic irrigation controllers (as is evidenced by the variation in price and complexity of the models). Howeve</w:t>
      </w:r>
      <w:r>
        <w:rPr>
          <w:rFonts w:cs="Arial"/>
          <w:lang w:val="en-US"/>
        </w:rPr>
        <w:t>r, there is currently no meaningful way to rate them. It was strongly suggested by multiple stakeholders that it is unlikely that a test and rating scheme could be developed for domestic irrigation controllers. Reasons for this include:</w:t>
      </w:r>
    </w:p>
    <w:p w14:paraId="46047001" w14:textId="77777777" w:rsidR="00000000" w:rsidRDefault="00DB4BBA">
      <w:pPr>
        <w:pStyle w:val="TextDotPoint"/>
        <w:rPr>
          <w:rFonts w:cs="Arial"/>
          <w:lang w:val="en-US"/>
        </w:rPr>
      </w:pPr>
      <w:r>
        <w:rPr>
          <w:rFonts w:cs="Arial"/>
          <w:lang w:val="en-US"/>
        </w:rPr>
        <w:t>water use depends</w:t>
      </w:r>
      <w:r>
        <w:rPr>
          <w:rFonts w:cs="Arial"/>
          <w:lang w:val="en-US"/>
        </w:rPr>
        <w:t xml:space="preserve"> on whether a garden is mulched, the types of garden beds, plants and soils in the garden;</w:t>
      </w:r>
    </w:p>
    <w:p w14:paraId="3349B766" w14:textId="77777777" w:rsidR="00000000" w:rsidRDefault="00DB4BBA">
      <w:pPr>
        <w:pStyle w:val="TextDotPoint"/>
        <w:rPr>
          <w:rFonts w:cs="Arial"/>
          <w:lang w:val="en-US"/>
        </w:rPr>
      </w:pPr>
      <w:r>
        <w:rPr>
          <w:rFonts w:cs="Arial"/>
          <w:lang w:val="en-US"/>
        </w:rPr>
        <w:t>domestic irrigation controllers rely on significant human intervention and as such are</w:t>
      </w:r>
      <w:r>
        <w:rPr>
          <w:rFonts w:cs="Arial"/>
          <w:lang w:val="en-US"/>
        </w:rPr>
        <w:t xml:space="preserve"> particularly susceptible to water wastage from misapplication of the technology (one industry stakeholder noted that rating irrigation controllers would be akin to rating shovels – the size of the hole depends on the person using it);</w:t>
      </w:r>
    </w:p>
    <w:p w14:paraId="2E0D8026" w14:textId="77777777" w:rsidR="00000000" w:rsidRDefault="00DB4BBA">
      <w:pPr>
        <w:pStyle w:val="TextDotPoint"/>
        <w:rPr>
          <w:rFonts w:cs="Arial"/>
          <w:lang w:val="en-US"/>
        </w:rPr>
      </w:pPr>
      <w:r>
        <w:rPr>
          <w:rFonts w:cs="Arial"/>
          <w:lang w:val="en-US"/>
        </w:rPr>
        <w:t>all domestic irrig</w:t>
      </w:r>
      <w:r>
        <w:rPr>
          <w:rFonts w:cs="Arial"/>
          <w:lang w:val="en-US"/>
        </w:rPr>
        <w:t>ation controllers have the same function, however, the technology they employ to do this can vary widely;</w:t>
      </w:r>
    </w:p>
    <w:p w14:paraId="56F9FF34" w14:textId="77777777" w:rsidR="00000000" w:rsidRDefault="00DB4BBA">
      <w:pPr>
        <w:pStyle w:val="TextDotPoint"/>
        <w:rPr>
          <w:rFonts w:cs="Arial"/>
          <w:lang w:val="en-US"/>
        </w:rPr>
      </w:pPr>
      <w:r>
        <w:rPr>
          <w:rFonts w:cs="Arial"/>
          <w:lang w:val="en-US"/>
        </w:rPr>
        <w:t>the is no such thing as a standard domestic irrigation system or configuration; and</w:t>
      </w:r>
    </w:p>
    <w:p w14:paraId="4FC06015" w14:textId="77777777" w:rsidR="00000000" w:rsidRDefault="00DB4BBA">
      <w:pPr>
        <w:pStyle w:val="TextDotPoint"/>
        <w:rPr>
          <w:rFonts w:cs="Arial"/>
          <w:lang w:val="en-US"/>
        </w:rPr>
      </w:pPr>
      <w:r>
        <w:rPr>
          <w:rFonts w:cs="Arial"/>
          <w:lang w:val="en-US"/>
        </w:rPr>
        <w:t xml:space="preserve">even the most sophisticated and potentially efficient controllers are only components in a system that can have multiple points where it wastes or saves water. </w:t>
      </w:r>
    </w:p>
    <w:p w14:paraId="2232D894" w14:textId="77777777" w:rsidR="00000000" w:rsidRDefault="00DB4BBA">
      <w:pPr>
        <w:pStyle w:val="Text"/>
        <w:rPr>
          <w:rFonts w:cs="Arial"/>
          <w:lang w:val="en-US"/>
        </w:rPr>
      </w:pPr>
      <w:r>
        <w:rPr>
          <w:rFonts w:cs="Arial"/>
          <w:lang w:val="en-US"/>
        </w:rPr>
        <w:t>These factors can combine to affect water efficiency in a number of ways. For example, appropri</w:t>
      </w:r>
      <w:r>
        <w:rPr>
          <w:rFonts w:cs="Arial"/>
          <w:lang w:val="en-US"/>
        </w:rPr>
        <w:t xml:space="preserve">ate application of mulch in a garden can mitigate evaporation losses by up to 70 per cent </w:t>
      </w:r>
      <w:r>
        <w:rPr>
          <w:rFonts w:cs="Arial"/>
          <w:lang w:val="en-US"/>
        </w:rPr>
        <w:fldChar w:fldCharType="begin"/>
      </w:r>
      <w:r>
        <w:rPr>
          <w:rFonts w:cs="Arial"/>
          <w:lang w:val="en-US"/>
        </w:rPr>
        <w:instrText xml:space="preserve"> ADDIN EN.CITE &lt;EndNote&gt;&lt;Cite&gt;&lt;Author&gt;Brisbane City Council&lt;/Author&gt;&lt;Year&gt;n.d.&lt;/Year&gt;&lt;RecNum&gt;119&lt;/RecNum&gt;&lt;record&gt;&lt;rec-number&gt;119&lt;/rec-number&gt;&lt;foreign-keys&gt;&lt;key app="E</w:instrText>
      </w:r>
      <w:r>
        <w:rPr>
          <w:rFonts w:cs="Arial"/>
          <w:lang w:val="en-US"/>
        </w:rPr>
        <w:instrText>N" db-id="50s0sw00tv5rvlessrsvpfd52f0zefprpafd"&gt;119&lt;/key&gt;&lt;/foreign-keys&gt;&lt;ref-type name="Web Page"&gt;12&lt;/ref-type&gt;&lt;contributors&gt;&lt;authors&gt;&lt;author&gt;Brisbane City Council,&lt;/author&gt;&lt;/authors&gt;&lt;/contributors&gt;&lt;titles&gt;&lt;title&gt;Green choice gardening&lt;/title&gt;&lt;/titles&gt;&lt;vol</w:instrText>
      </w:r>
      <w:r>
        <w:rPr>
          <w:rFonts w:cs="Arial"/>
          <w:lang w:val="en-US"/>
        </w:rPr>
        <w:instrText>ume&gt;2009&lt;/volume&gt;&lt;number&gt;28 July&lt;/number&gt;&lt;dates&gt;&lt;year&gt;n.d.&lt;/year&gt;&lt;/dates&gt;&lt;urls&gt;&lt;related-urls&gt;&lt;url&gt;http://mp3.news.com.au/bcm/water/green-choice.pdf&lt;/url&gt;&lt;/related-urls&gt;&lt;/urls&gt;&lt;/record&gt;&lt;/Cite&gt;&lt;/EndNote&gt;</w:instrText>
      </w:r>
      <w:r>
        <w:rPr>
          <w:rFonts w:cs="Arial"/>
          <w:lang w:val="en-US"/>
        </w:rPr>
        <w:fldChar w:fldCharType="separate"/>
      </w:r>
      <w:r>
        <w:rPr>
          <w:rFonts w:cs="Arial"/>
          <w:lang w:val="en-US"/>
        </w:rPr>
        <w:t>(Brisbane City Council n.d.)</w:t>
      </w:r>
      <w:r>
        <w:rPr>
          <w:rFonts w:cs="Arial"/>
          <w:lang w:val="en-US"/>
        </w:rPr>
        <w:fldChar w:fldCharType="end"/>
      </w:r>
      <w:r>
        <w:rPr>
          <w:rFonts w:cs="Arial"/>
          <w:lang w:val="en-US"/>
        </w:rPr>
        <w:t>. It is therefore feasib</w:t>
      </w:r>
      <w:r>
        <w:rPr>
          <w:rFonts w:cs="Arial"/>
          <w:lang w:val="en-US"/>
        </w:rPr>
        <w:t>le that an irrigation system in a garden without mulch is operating efficiently (i.e. providing the plants with sufficient water to survive without over-watering them) but that the garden is nonetheless using far more water than would be necessary if the g</w:t>
      </w:r>
      <w:r>
        <w:rPr>
          <w:rFonts w:cs="Arial"/>
          <w:lang w:val="en-US"/>
        </w:rPr>
        <w:t>arden had been mulched.</w:t>
      </w:r>
    </w:p>
    <w:p w14:paraId="13AB5C2B" w14:textId="77777777" w:rsidR="00000000" w:rsidRDefault="00DB4BBA">
      <w:pPr>
        <w:pStyle w:val="Text"/>
        <w:tabs>
          <w:tab w:val="left" w:pos="3544"/>
        </w:tabs>
        <w:rPr>
          <w:rFonts w:cs="Arial"/>
          <w:lang w:val="en-US"/>
        </w:rPr>
      </w:pPr>
      <w:r>
        <w:rPr>
          <w:rFonts w:cs="Arial"/>
          <w:lang w:val="en-US"/>
        </w:rPr>
        <w:t>At present there is no confidence within the industry that it is possible to develop a test that could meaningfully rate the impact of a domestic irrigation controller on the water efficiency of a domestic irrigation system. The All</w:t>
      </w:r>
      <w:r>
        <w:rPr>
          <w:rFonts w:cs="Arial"/>
          <w:lang w:val="en-US"/>
        </w:rPr>
        <w:t xml:space="preserve">en Consulting Group therefore supports the findings of the George Wilkenfeld and Associates report: </w:t>
      </w:r>
      <w:r>
        <w:rPr>
          <w:rFonts w:cs="Arial"/>
          <w:i/>
          <w:lang w:val="en-US"/>
        </w:rPr>
        <w:t>Expanding the Water Efficiency Labelling and Standards (WELS) Scheme: Final Report</w:t>
      </w:r>
      <w:r>
        <w:rPr>
          <w:rFonts w:cs="Arial"/>
          <w:lang w:val="en-US"/>
        </w:rPr>
        <w:t xml:space="preserve"> that:</w:t>
      </w:r>
    </w:p>
    <w:p w14:paraId="2FFB8C27" w14:textId="77777777" w:rsidR="00000000" w:rsidRDefault="00DB4BBA">
      <w:pPr>
        <w:pStyle w:val="Quote"/>
        <w:keepNext/>
      </w:pPr>
      <w:r>
        <w:t xml:space="preserve">irrigation products are </w:t>
      </w:r>
      <w:r>
        <w:rPr>
          <w:i/>
          <w:iCs/>
        </w:rPr>
        <w:t xml:space="preserve">not </w:t>
      </w:r>
      <w:r>
        <w:t xml:space="preserve">suitable for inclusion in </w:t>
      </w:r>
      <w:r>
        <w:t>WELS,</w:t>
      </w:r>
      <w:r>
        <w:t xml:space="preserve"> because there is no reliable way to assess their relative impact on water use.</w:t>
      </w:r>
    </w:p>
    <w:p w14:paraId="603C864A" w14:textId="77777777" w:rsidR="00000000" w:rsidRDefault="00DB4BBA">
      <w:pPr>
        <w:pStyle w:val="QuoteSource"/>
      </w:pPr>
      <w:r>
        <w:fldChar w:fldCharType="begin"/>
      </w:r>
      <w:r>
        <w:instrText xml:space="preserve"> ADDIN EN.CITE &lt;EndNote&gt;&lt;Cite&gt;&lt;Author&gt;George Wilkenfeld and Associates&lt;/Author&gt;&lt;Year&gt;2005&lt;/Year&gt;&lt;RecNum&gt;1&lt;/RecNum&gt;&lt;record&gt;&lt;rec-number&gt;1&lt;/rec-number&gt;&lt;foreign-keys&gt;&lt;key app="EN" </w:instrText>
      </w:r>
      <w:r>
        <w:instrText>db-id="50s0sw00tv5rvlessrsvpfd52f0zefprpafd"&gt;1&lt;/key&gt;&lt;/foreign-keys&gt;&lt;ref-type name="Report"&gt;27&lt;/ref-type&gt;&lt;contributors&gt;&lt;authors&gt;&lt;author&gt;George Wilkenfeld and Associates,&lt;/author&gt;&lt;/authors&gt;&lt;subsidiary-authors&gt;&lt;author&gt;Department of the Environment and Heritag</w:instrText>
      </w:r>
      <w:r>
        <w:instrText>e&lt;/author&gt;&lt;/subsidiary-authors&gt;&lt;/contributors&gt;&lt;titles&gt;&lt;title&gt;Expanding the Water Efficiency Labelling and Standards (WELS) Scheme&lt;/title&gt;&lt;/titles&gt;&lt;dates&gt;&lt;year&gt;2005&lt;/year&gt;&lt;pub-dates&gt;&lt;date&gt;November&lt;/date&gt;&lt;/pub-dates&gt;&lt;/dates&gt;&lt;pub-location&gt;Sydney&lt;/pub-location</w:instrText>
      </w:r>
      <w:r>
        <w:instrText>&gt;&lt;urls&gt;&lt;/urls&gt;&lt;/record&gt;&lt;/Cite&gt;&lt;/EndNote&gt;</w:instrText>
      </w:r>
      <w:r>
        <w:fldChar w:fldCharType="separate"/>
      </w:r>
      <w:r>
        <w:t>(George Wilkenfeld and Associates 2005)</w:t>
      </w:r>
      <w:r>
        <w:fldChar w:fldCharType="end"/>
      </w:r>
    </w:p>
    <w:p w14:paraId="0CF8A1B9" w14:textId="77777777" w:rsidR="00000000" w:rsidRDefault="00DB4BBA">
      <w:pPr>
        <w:pStyle w:val="Heading3"/>
        <w:rPr>
          <w:rFonts w:cs="Arial"/>
          <w:lang w:val="en-US"/>
        </w:rPr>
      </w:pPr>
      <w:bookmarkStart w:id="53" w:name="_Toc118523894"/>
      <w:r>
        <w:rPr>
          <w:rFonts w:cs="Arial"/>
          <w:lang w:val="en-US"/>
        </w:rPr>
        <w:lastRenderedPageBreak/>
        <w:t>Water restrictions</w:t>
      </w:r>
      <w:bookmarkEnd w:id="53"/>
    </w:p>
    <w:p w14:paraId="3960EBB5" w14:textId="77777777" w:rsidR="00000000" w:rsidRDefault="00DB4BBA">
      <w:pPr>
        <w:pStyle w:val="Text"/>
        <w:rPr>
          <w:rFonts w:cs="Arial"/>
          <w:lang w:val="en-US"/>
        </w:rPr>
      </w:pPr>
      <w:r>
        <w:rPr>
          <w:rFonts w:cs="Arial"/>
          <w:lang w:val="en-US"/>
        </w:rPr>
        <w:t>Efficient use of water for domestic irrigation requires an appropriate quantity of water to be applied as a specific point i</w:t>
      </w:r>
      <w:r>
        <w:rPr>
          <w:rFonts w:cs="Arial"/>
          <w:lang w:val="en-US"/>
        </w:rPr>
        <w:t>n time. At present, many areas of Australia are subject to water restrictions that only allow watering at specific times and using specific watering devices. The following are examples of the current restrictions in place for watering gardens.</w:t>
      </w:r>
    </w:p>
    <w:p w14:paraId="563F4CC1" w14:textId="77777777" w:rsidR="00000000" w:rsidRDefault="00DB4BBA">
      <w:pPr>
        <w:pStyle w:val="TextDotPoint"/>
        <w:rPr>
          <w:rFonts w:cs="Arial"/>
          <w:lang w:val="en-US"/>
        </w:rPr>
      </w:pPr>
      <w:r>
        <w:rPr>
          <w:rFonts w:cs="Arial"/>
          <w:lang w:val="en-US"/>
        </w:rPr>
        <w:t xml:space="preserve">Melbourne </w:t>
      </w:r>
      <w:r>
        <w:rPr>
          <w:rFonts w:cs="Arial"/>
          <w:lang w:val="en-US"/>
        </w:rPr>
        <w:t>is currently under level 3a water restrictions, meaning residents can not water their lawn and plants may only be watered two days per week using a manual dripper system, hand-held hoses fitted with trigger nozzles, watering cans and buckets between 6am an</w:t>
      </w:r>
      <w:r>
        <w:rPr>
          <w:rFonts w:cs="Arial"/>
          <w:lang w:val="en-US"/>
        </w:rPr>
        <w:t>d 8am or automatic dripper systems between midnight and 2 am.</w:t>
      </w:r>
    </w:p>
    <w:p w14:paraId="55706553" w14:textId="77777777" w:rsidR="00000000" w:rsidRDefault="00DB4BBA">
      <w:pPr>
        <w:pStyle w:val="TextDotPoint"/>
        <w:rPr>
          <w:rFonts w:cs="Arial"/>
          <w:lang w:val="en-US"/>
        </w:rPr>
      </w:pPr>
      <w:r>
        <w:rPr>
          <w:rFonts w:cs="Arial"/>
          <w:lang w:val="en-US"/>
        </w:rPr>
        <w:t>Toowoomba is currently under level 5 water restrictions, meaning residents are prohibited from all outside watering using town water with any watering device.</w:t>
      </w:r>
    </w:p>
    <w:p w14:paraId="53EBF97E" w14:textId="77777777" w:rsidR="00000000" w:rsidRDefault="00DB4BBA">
      <w:pPr>
        <w:pStyle w:val="TextDotPoint"/>
        <w:rPr>
          <w:rFonts w:cs="Arial"/>
          <w:lang w:val="en-US"/>
        </w:rPr>
      </w:pPr>
      <w:r>
        <w:rPr>
          <w:rFonts w:cs="Arial"/>
          <w:lang w:val="en-US"/>
        </w:rPr>
        <w:t xml:space="preserve">Perth is currently under stage 4 water restrictions, meaning residents can only water their lawn or garden from the reticulated supply twice a week. </w:t>
      </w:r>
    </w:p>
    <w:p w14:paraId="1ECF3689" w14:textId="77777777" w:rsidR="00000000" w:rsidRDefault="00DB4BBA">
      <w:pPr>
        <w:pStyle w:val="Text"/>
        <w:rPr>
          <w:rFonts w:cs="Arial"/>
          <w:lang w:val="en-US"/>
        </w:rPr>
      </w:pPr>
      <w:r>
        <w:rPr>
          <w:rFonts w:cs="Arial"/>
          <w:lang w:val="en-US"/>
        </w:rPr>
        <w:t>These restrictions will impair or prevent the use of the more sophisticated units, which use sensors to as</w:t>
      </w:r>
      <w:r>
        <w:rPr>
          <w:rFonts w:cs="Arial"/>
          <w:lang w:val="en-US"/>
        </w:rPr>
        <w:t>sess the most opportune time and quantity of water to be applied. An alternative approach to a rating style program to encourage the uptake of these more efficient models is to exempt them from watering restrictions.</w:t>
      </w:r>
    </w:p>
    <w:p w14:paraId="0E6BDE7E" w14:textId="77777777" w:rsidR="00000000" w:rsidRDefault="00DB4BBA">
      <w:pPr>
        <w:pStyle w:val="Text"/>
        <w:rPr>
          <w:rFonts w:cs="Arial"/>
          <w:lang w:val="en-US"/>
        </w:rPr>
      </w:pPr>
    </w:p>
    <w:p w14:paraId="5B434E81" w14:textId="77777777" w:rsidR="00000000" w:rsidRDefault="00DB4BBA">
      <w:pPr>
        <w:pStyle w:val="Text"/>
        <w:rPr>
          <w:rFonts w:cs="Arial"/>
          <w:lang w:val="en-US"/>
        </w:rPr>
      </w:pPr>
    </w:p>
    <w:p w14:paraId="402796AF" w14:textId="77777777" w:rsidR="00000000" w:rsidRDefault="00DB4BBA">
      <w:pPr>
        <w:pStyle w:val="Text"/>
        <w:rPr>
          <w:rFonts w:cs="Arial"/>
          <w:lang w:val="en-US"/>
        </w:rPr>
      </w:pPr>
    </w:p>
    <w:p w14:paraId="49CCA006" w14:textId="77777777" w:rsidR="00000000" w:rsidRDefault="00DB4BBA">
      <w:pPr>
        <w:pStyle w:val="Heading1"/>
        <w:numPr>
          <w:ins w:id="54" w:author="Unknown"/>
        </w:numPr>
        <w:rPr>
          <w:rFonts w:cs="Helvetica"/>
          <w:szCs w:val="24"/>
          <w:lang w:val="en-US"/>
        </w:rPr>
      </w:pPr>
      <w:bookmarkStart w:id="55" w:name="_Toc118523895"/>
      <w:bookmarkStart w:id="56" w:name="_Toc102729488"/>
      <w:bookmarkEnd w:id="55"/>
    </w:p>
    <w:p w14:paraId="4A23E7F6" w14:textId="77777777" w:rsidR="00000000" w:rsidRDefault="00DB4BBA">
      <w:pPr>
        <w:pStyle w:val="Heading2"/>
        <w:numPr>
          <w:ins w:id="57" w:author="Unknown"/>
        </w:numPr>
      </w:pPr>
      <w:bookmarkStart w:id="58" w:name="_Toc118523896"/>
      <w:r>
        <w:t>Conclusion</w:t>
      </w:r>
      <w:bookmarkEnd w:id="58"/>
    </w:p>
    <w:bookmarkEnd w:id="56"/>
    <w:p w14:paraId="5E86A3C7" w14:textId="77777777" w:rsidR="00000000" w:rsidRDefault="00DB4BBA">
      <w:pPr>
        <w:pStyle w:val="Text"/>
        <w:rPr>
          <w:lang w:val="en-GB"/>
        </w:rPr>
      </w:pPr>
      <w:r>
        <w:rPr>
          <w:lang w:val="en-GB"/>
        </w:rPr>
        <w:t>Under best practice regulation guidelines, government intervention can be justified when:</w:t>
      </w:r>
    </w:p>
    <w:p w14:paraId="6E45FA35" w14:textId="77777777" w:rsidR="00000000" w:rsidRDefault="00DB4BBA">
      <w:pPr>
        <w:pStyle w:val="TextDotPoint"/>
        <w:tabs>
          <w:tab w:val="num" w:pos="360"/>
        </w:tabs>
        <w:ind w:left="360" w:hanging="360"/>
        <w:rPr>
          <w:lang w:val="en-GB"/>
        </w:rPr>
      </w:pPr>
      <w:r>
        <w:rPr>
          <w:lang w:val="en-GB"/>
        </w:rPr>
        <w:t xml:space="preserve">there is an inherent failure in the market’s ability to deliver fair and equitable outcomes; and </w:t>
      </w:r>
    </w:p>
    <w:p w14:paraId="0D9CB932" w14:textId="77777777" w:rsidR="00000000" w:rsidRDefault="00DB4BBA">
      <w:pPr>
        <w:pStyle w:val="TextDotPoint"/>
        <w:tabs>
          <w:tab w:val="num" w:pos="360"/>
        </w:tabs>
        <w:ind w:left="360" w:hanging="360"/>
        <w:rPr>
          <w:lang w:val="en-GB"/>
        </w:rPr>
      </w:pPr>
      <w:r>
        <w:rPr>
          <w:lang w:val="en-GB"/>
        </w:rPr>
        <w:t xml:space="preserve">the benefits from correcting the failure are greater than the costs associated with doing so. </w:t>
      </w:r>
    </w:p>
    <w:p w14:paraId="5079630B" w14:textId="77777777" w:rsidR="00000000" w:rsidRDefault="00DB4BBA">
      <w:pPr>
        <w:pStyle w:val="Text"/>
        <w:rPr>
          <w:lang w:val="en-GB"/>
        </w:rPr>
      </w:pPr>
      <w:bookmarkStart w:id="59" w:name="_Ref110500622"/>
      <w:r>
        <w:rPr>
          <w:lang w:val="en-GB"/>
        </w:rPr>
        <w:t>In this instance, there is not sufficient evidence to suggest there is an inherent failure in the market’</w:t>
      </w:r>
      <w:r>
        <w:rPr>
          <w:lang w:val="en-GB"/>
        </w:rPr>
        <w:t>s ability to deliver fair and equitable outcomes. Sydney Water’s education program (Love Your Garden) showed that the biggest cause of wasted water in the garden was the practices of the homeowner. Domestic irrigation controllers can provide water savings,</w:t>
      </w:r>
      <w:r>
        <w:rPr>
          <w:lang w:val="en-GB"/>
        </w:rPr>
        <w:t xml:space="preserve"> however, these savings are largely dependent on the operator being educated on the appropriate use of the model as part of the irrigation system – rather than the inherent features of the model. It is entirely possible that the same level of garden water </w:t>
      </w:r>
      <w:r>
        <w:rPr>
          <w:lang w:val="en-GB"/>
        </w:rPr>
        <w:t>efficiency and irrigation efficiency can be achieved using multiple configurations and practices. They are not suitable for inclusion in the WELS scheme because the impact of the type of domestic irrigation controller used is heavily dependent on a range o</w:t>
      </w:r>
      <w:r>
        <w:rPr>
          <w:lang w:val="en-GB"/>
        </w:rPr>
        <w:t>f factors outside the influence of the manufacturers. As such, any rating scheme that focuses on domestic irrigation controllers is unlikely to reflect the water efficiency of the model in practice.</w:t>
      </w:r>
    </w:p>
    <w:p w14:paraId="5BD97975" w14:textId="77777777" w:rsidR="00000000" w:rsidRDefault="00DB4BBA">
      <w:pPr>
        <w:pStyle w:val="Text"/>
        <w:rPr>
          <w:lang w:val="en-GB"/>
        </w:rPr>
      </w:pPr>
    </w:p>
    <w:p w14:paraId="41155CE3" w14:textId="77777777" w:rsidR="00000000" w:rsidRDefault="00DB4BBA">
      <w:pPr>
        <w:pStyle w:val="AppendixHeading"/>
        <w:numPr>
          <w:ilvl w:val="0"/>
          <w:numId w:val="10"/>
        </w:numPr>
      </w:pPr>
      <w:bookmarkStart w:id="60" w:name="_Toc118523897"/>
      <w:bookmarkStart w:id="61" w:name="_Ref118348231"/>
      <w:bookmarkEnd w:id="60"/>
    </w:p>
    <w:p w14:paraId="6B995311" w14:textId="77777777" w:rsidR="00000000" w:rsidRDefault="00DB4BBA">
      <w:pPr>
        <w:pStyle w:val="AppendixHeading2"/>
      </w:pPr>
      <w:bookmarkStart w:id="62" w:name="_Toc118523898"/>
      <w:bookmarkEnd w:id="59"/>
      <w:bookmarkEnd w:id="61"/>
      <w:r>
        <w:t>References</w:t>
      </w:r>
      <w:bookmarkEnd w:id="62"/>
    </w:p>
    <w:p w14:paraId="7414B4E0" w14:textId="77777777" w:rsidR="00000000" w:rsidRDefault="00DB4BBA">
      <w:pPr>
        <w:pStyle w:val="Text"/>
        <w:jc w:val="left"/>
      </w:pPr>
    </w:p>
    <w:p w14:paraId="596BDF66" w14:textId="77777777" w:rsidR="00000000" w:rsidRDefault="00DB4BBA">
      <w:pPr>
        <w:pStyle w:val="Text"/>
        <w:jc w:val="left"/>
      </w:pPr>
      <w:r>
        <w:fldChar w:fldCharType="begin"/>
      </w:r>
      <w:r>
        <w:instrText xml:space="preserve"> ADDIN EN.REFLIST </w:instrText>
      </w:r>
      <w:r>
        <w:fldChar w:fldCharType="separate"/>
      </w:r>
      <w:r>
        <w:t xml:space="preserve">ACT Government 2009, 'GardenSmart Service', Retrieved 28 July, 2009, from </w:t>
      </w:r>
      <w:hyperlink r:id="rId20" w:history="1">
        <w:r>
          <w:rPr>
            <w:rStyle w:val="Hyperlink"/>
            <w:rFonts w:ascii="Times New Roman" w:hAnsi="Times New Roman"/>
            <w:sz w:val="22"/>
          </w:rPr>
          <w:t>http://www.thinkwater.act.gov.au/tune-ups_rebates/outdoor_water_tune-up.shtml</w:t>
        </w:r>
      </w:hyperlink>
      <w:r>
        <w:t>.</w:t>
      </w:r>
      <w:r>
        <w:tab/>
      </w:r>
    </w:p>
    <w:p w14:paraId="1A6626CC" w14:textId="77777777" w:rsidR="00000000" w:rsidRDefault="00DB4BBA">
      <w:pPr>
        <w:pStyle w:val="Text"/>
        <w:jc w:val="left"/>
      </w:pPr>
      <w:r>
        <w:t>Akerlof, G. (1970). "The market for l</w:t>
      </w:r>
      <w:r>
        <w:t xml:space="preserve">emons: Quality uncertainty and the market mechanism." </w:t>
      </w:r>
      <w:r>
        <w:rPr>
          <w:u w:val="single"/>
        </w:rPr>
        <w:t>Quarterly Journal of Economics</w:t>
      </w:r>
      <w:r>
        <w:t xml:space="preserve"> </w:t>
      </w:r>
      <w:r>
        <w:rPr>
          <w:b/>
        </w:rPr>
        <w:t>84</w:t>
      </w:r>
      <w:r>
        <w:t>(3): 488-500.</w:t>
      </w:r>
      <w:r>
        <w:tab/>
      </w:r>
    </w:p>
    <w:p w14:paraId="5BEB124F" w14:textId="77777777" w:rsidR="00000000" w:rsidRDefault="00DB4BBA">
      <w:pPr>
        <w:pStyle w:val="Text"/>
        <w:jc w:val="left"/>
      </w:pPr>
      <w:r>
        <w:t xml:space="preserve">Aquaspy 2009, 'Water Management Solutions for Urban Landscape and Turf ', Retrieved 28 July, 2009, from </w:t>
      </w:r>
      <w:hyperlink r:id="rId21" w:history="1">
        <w:r>
          <w:rPr>
            <w:rStyle w:val="Hyperlink"/>
            <w:rFonts w:ascii="Times New Roman" w:hAnsi="Times New Roman"/>
            <w:sz w:val="22"/>
          </w:rPr>
          <w:t>http://www.aquaspy.com/pudCMS/pudAsset.cfm?id=545</w:t>
        </w:r>
      </w:hyperlink>
      <w:r>
        <w:t>.</w:t>
      </w:r>
      <w:r>
        <w:tab/>
      </w:r>
    </w:p>
    <w:p w14:paraId="642A555C" w14:textId="77777777" w:rsidR="00000000" w:rsidRDefault="00DB4BBA">
      <w:pPr>
        <w:pStyle w:val="Text"/>
        <w:jc w:val="left"/>
      </w:pPr>
      <w:r>
        <w:t>Australian Bureau of Agricultural and Resource Economics 2008, 'Urban Water Man</w:t>
      </w:r>
      <w:r>
        <w:t xml:space="preserve">agement: Optimal Price and Investment Policy Under Climate Variability ', Retrieved 1 May 2009, from </w:t>
      </w:r>
      <w:hyperlink r:id="rId22" w:history="1">
        <w:r>
          <w:rPr>
            <w:rStyle w:val="Hyperlink"/>
            <w:rFonts w:ascii="Times New Roman" w:hAnsi="Times New Roman"/>
            <w:sz w:val="22"/>
          </w:rPr>
          <w:t>http://www.abareconomics.com/interactive/08_ResearchReports/Urbanwater/htm/chapter_2.htm</w:t>
        </w:r>
      </w:hyperlink>
      <w:r>
        <w:t>.</w:t>
      </w:r>
      <w:r>
        <w:tab/>
      </w:r>
    </w:p>
    <w:p w14:paraId="4719A382" w14:textId="77777777" w:rsidR="00000000" w:rsidRDefault="00DB4BBA">
      <w:pPr>
        <w:pStyle w:val="Text"/>
        <w:jc w:val="left"/>
      </w:pPr>
      <w:r>
        <w:t>Australian Conservation Foundation 2009, 'Money back for saving wat</w:t>
      </w:r>
      <w:r>
        <w:t xml:space="preserve">er', Retrieved 28 July, 2009, from </w:t>
      </w:r>
      <w:hyperlink r:id="rId23" w:history="1">
        <w:r>
          <w:rPr>
            <w:rStyle w:val="Hyperlink"/>
            <w:rFonts w:ascii="Times New Roman" w:hAnsi="Times New Roman"/>
            <w:sz w:val="22"/>
          </w:rPr>
          <w:t>http://www.acfonline.org.au/articl</w:t>
        </w:r>
        <w:r>
          <w:rPr>
            <w:rStyle w:val="Hyperlink"/>
            <w:rFonts w:ascii="Times New Roman" w:hAnsi="Times New Roman"/>
            <w:sz w:val="22"/>
          </w:rPr>
          <w:t>es/news.asp?news_id=153</w:t>
        </w:r>
      </w:hyperlink>
      <w:r>
        <w:t>.</w:t>
      </w:r>
      <w:r>
        <w:tab/>
      </w:r>
    </w:p>
    <w:p w14:paraId="3DA27A15" w14:textId="77777777" w:rsidR="00000000" w:rsidRDefault="00DB4BBA">
      <w:pPr>
        <w:pStyle w:val="Text"/>
        <w:jc w:val="left"/>
      </w:pPr>
      <w:r>
        <w:t xml:space="preserve">BIS Shrapnel 2008, </w:t>
      </w:r>
      <w:r>
        <w:rPr>
          <w:i/>
        </w:rPr>
        <w:t>Energy Efficiency and Water Saving in Australian Households</w:t>
      </w:r>
      <w:r>
        <w:t>, Sydney.</w:t>
      </w:r>
      <w:r>
        <w:tab/>
      </w:r>
    </w:p>
    <w:p w14:paraId="1D3258E3" w14:textId="77777777" w:rsidR="00000000" w:rsidRDefault="00DB4BBA">
      <w:pPr>
        <w:pStyle w:val="Text"/>
        <w:jc w:val="left"/>
      </w:pPr>
      <w:r>
        <w:t xml:space="preserve">Brisbane City Council n.d., 'Green choice gardening', Retrieved 28 July, 2009, from </w:t>
      </w:r>
      <w:hyperlink r:id="rId24" w:history="1">
        <w:r>
          <w:rPr>
            <w:rStyle w:val="Hyperlink"/>
            <w:rFonts w:ascii="Times New Roman" w:hAnsi="Times New Roman"/>
            <w:sz w:val="22"/>
          </w:rPr>
          <w:t>http://mp3.news.com.au/bcm/water/green-choice.pdf</w:t>
        </w:r>
      </w:hyperlink>
      <w:r>
        <w:t>.</w:t>
      </w:r>
      <w:r>
        <w:tab/>
      </w:r>
    </w:p>
    <w:p w14:paraId="2F88CD77" w14:textId="77777777" w:rsidR="00000000" w:rsidRDefault="00DB4BBA">
      <w:pPr>
        <w:pStyle w:val="Text"/>
        <w:jc w:val="left"/>
      </w:pPr>
      <w:r>
        <w:t>Business Council of Australia 2006, 'Water Under Pressure: Australia's Man-Made Wat</w:t>
      </w:r>
      <w:r>
        <w:t xml:space="preserve">er Scarcity And How To Fix It', Retrieved 11 May, 2009, from </w:t>
      </w:r>
      <w:hyperlink r:id="rId25" w:history="1">
        <w:r>
          <w:rPr>
            <w:rStyle w:val="Hyperlink"/>
            <w:rFonts w:ascii="Times New Roman" w:hAnsi="Times New Roman"/>
            <w:sz w:val="22"/>
          </w:rPr>
          <w:t>www.bca.com.au/DisplayFi</w:t>
        </w:r>
        <w:r>
          <w:rPr>
            <w:rStyle w:val="Hyperlink"/>
            <w:rFonts w:ascii="Times New Roman" w:hAnsi="Times New Roman"/>
            <w:sz w:val="22"/>
          </w:rPr>
          <w:t>le.aspx?FileID=168</w:t>
        </w:r>
      </w:hyperlink>
      <w:r>
        <w:t>.</w:t>
      </w:r>
      <w:r>
        <w:tab/>
      </w:r>
    </w:p>
    <w:p w14:paraId="2E3F0F45" w14:textId="77777777" w:rsidR="00000000" w:rsidRDefault="00DB4BBA">
      <w:pPr>
        <w:pStyle w:val="Text"/>
        <w:jc w:val="left"/>
      </w:pPr>
      <w:r>
        <w:t xml:space="preserve">Colorado Springs Utilities 2009, 'Irrigation Equipment Rebate', Retrieved 28 July, 2009, from </w:t>
      </w:r>
      <w:hyperlink r:id="rId26" w:history="1">
        <w:r>
          <w:rPr>
            <w:rStyle w:val="Hyperlink"/>
            <w:rFonts w:ascii="Times New Roman" w:hAnsi="Times New Roman"/>
            <w:sz w:val="22"/>
          </w:rPr>
          <w:t>http://www.csu.org/business/greenback/rebates/irrigation/item1320.html</w:t>
        </w:r>
      </w:hyperlink>
      <w:r>
        <w:t>.</w:t>
      </w:r>
      <w:r>
        <w:tab/>
      </w:r>
    </w:p>
    <w:p w14:paraId="44399705" w14:textId="77777777" w:rsidR="00000000" w:rsidRDefault="00DB4BBA">
      <w:pPr>
        <w:pStyle w:val="Text"/>
        <w:jc w:val="left"/>
      </w:pPr>
      <w:r>
        <w:t>Department of the Environment Water Heritage and the Arts 2008, 'Water for the Future ', Retrieved 22 Jan</w:t>
      </w:r>
      <w:r>
        <w:t xml:space="preserve">aury 2009, from </w:t>
      </w:r>
      <w:hyperlink r:id="rId27" w:history="1">
        <w:r>
          <w:rPr>
            <w:rStyle w:val="Hyperlink"/>
            <w:rFonts w:ascii="Times New Roman" w:hAnsi="Times New Roman"/>
            <w:sz w:val="22"/>
          </w:rPr>
          <w:t>http://environment.g</w:t>
        </w:r>
        <w:r>
          <w:rPr>
            <w:rStyle w:val="Hyperlink"/>
            <w:rFonts w:ascii="Times New Roman" w:hAnsi="Times New Roman"/>
            <w:sz w:val="22"/>
          </w:rPr>
          <w:t>ov.au/water/publications/action/pubs/water-future.pdf</w:t>
        </w:r>
      </w:hyperlink>
      <w:r>
        <w:t>.</w:t>
      </w:r>
      <w:r>
        <w:tab/>
      </w:r>
    </w:p>
    <w:p w14:paraId="70636332" w14:textId="77777777" w:rsidR="00000000" w:rsidRDefault="00DB4BBA">
      <w:pPr>
        <w:pStyle w:val="Text"/>
        <w:jc w:val="left"/>
      </w:pPr>
      <w:r>
        <w:t xml:space="preserve">DIY Irrigation 2009, 'Online store', Retrieved 28 July, 2009, from </w:t>
      </w:r>
      <w:hyperlink r:id="rId28" w:history="1">
        <w:r>
          <w:rPr>
            <w:rStyle w:val="Hyperlink"/>
            <w:rFonts w:ascii="Times New Roman" w:hAnsi="Times New Roman"/>
            <w:sz w:val="22"/>
          </w:rPr>
          <w:t>http://www.diyirrigation.com.au</w:t>
        </w:r>
      </w:hyperlink>
      <w:r>
        <w:t>.</w:t>
      </w:r>
      <w:r>
        <w:tab/>
      </w:r>
    </w:p>
    <w:p w14:paraId="2FE160D6" w14:textId="77777777" w:rsidR="00000000" w:rsidRDefault="00DB4BBA">
      <w:pPr>
        <w:pStyle w:val="Text"/>
        <w:jc w:val="left"/>
      </w:pPr>
      <w:r>
        <w:t xml:space="preserve">George Wilkenfeld and Associates 2005, </w:t>
      </w:r>
      <w:r>
        <w:rPr>
          <w:i/>
        </w:rPr>
        <w:t>Expanding the Water Efficiency Labelling and Standards (WELS) Scheme</w:t>
      </w:r>
      <w:r>
        <w:t>, November, Sydney.</w:t>
      </w:r>
      <w:r>
        <w:tab/>
      </w:r>
    </w:p>
    <w:p w14:paraId="744CCC54" w14:textId="77777777" w:rsidR="00000000" w:rsidRDefault="00DB4BBA">
      <w:pPr>
        <w:pStyle w:val="Text"/>
        <w:jc w:val="left"/>
      </w:pPr>
      <w:r>
        <w:t xml:space="preserve">Hunt, Theodore, Dale Lessick, et al. 2001, 'Residential Weather-Based Irrigation Scheduling: Evidence from the Irvine “ET Controller” Study ', Retrieved 28 July, 2009, from </w:t>
      </w:r>
      <w:hyperlink r:id="rId29" w:history="1">
        <w:r>
          <w:rPr>
            <w:rStyle w:val="Hyperlink"/>
            <w:rFonts w:ascii="Times New Roman" w:hAnsi="Times New Roman"/>
            <w:sz w:val="22"/>
          </w:rPr>
          <w:t>http://www.irrigation.org/swat/images/irvine.pdf</w:t>
        </w:r>
      </w:hyperlink>
      <w:r>
        <w:t>.</w:t>
      </w:r>
      <w:r>
        <w:tab/>
      </w:r>
    </w:p>
    <w:p w14:paraId="4147A382" w14:textId="77777777" w:rsidR="00000000" w:rsidRDefault="00DB4BBA">
      <w:pPr>
        <w:pStyle w:val="Text"/>
        <w:jc w:val="left"/>
      </w:pPr>
      <w:r>
        <w:lastRenderedPageBreak/>
        <w:t xml:space="preserve">Institute for Sustainable Futures 2008, </w:t>
      </w:r>
      <w:r>
        <w:rPr>
          <w:i/>
        </w:rPr>
        <w:t>Analysis of Australian Opportunties for More Water-Efficient Toilets</w:t>
      </w:r>
      <w:r>
        <w:t>, for D</w:t>
      </w:r>
      <w:r>
        <w:t>epartment of the Environment Water Heritage and the Arts.</w:t>
      </w:r>
      <w:r>
        <w:tab/>
      </w:r>
    </w:p>
    <w:p w14:paraId="745888C4" w14:textId="77777777" w:rsidR="00000000" w:rsidRDefault="00DB4BBA">
      <w:pPr>
        <w:pStyle w:val="Text"/>
        <w:jc w:val="left"/>
      </w:pPr>
      <w:r>
        <w:t xml:space="preserve">Irrigation Australia 2006, 'The value of urban irrigation in Australia', Retrieved 28 July, 2009, from </w:t>
      </w:r>
      <w:hyperlink r:id="rId30" w:history="1">
        <w:r>
          <w:rPr>
            <w:rStyle w:val="Hyperlink"/>
            <w:rFonts w:ascii="Times New Roman" w:hAnsi="Times New Roman"/>
            <w:sz w:val="22"/>
          </w:rPr>
          <w:t>http://www.irrigation.org.au/assets/pages/6E9E6203-1708-51EB-A65470E3F41123EB/UrbanBro</w:t>
        </w:r>
        <w:r>
          <w:rPr>
            <w:rStyle w:val="Hyperlink"/>
            <w:rFonts w:ascii="Times New Roman" w:hAnsi="Times New Roman"/>
            <w:sz w:val="22"/>
          </w:rPr>
          <w:t>chure.pdf</w:t>
        </w:r>
      </w:hyperlink>
      <w:r>
        <w:t>.</w:t>
      </w:r>
      <w:r>
        <w:tab/>
      </w:r>
    </w:p>
    <w:p w14:paraId="0383BF8B" w14:textId="77777777" w:rsidR="00000000" w:rsidRDefault="00DB4BBA">
      <w:pPr>
        <w:pStyle w:val="Text"/>
        <w:jc w:val="left"/>
      </w:pPr>
      <w:r>
        <w:t xml:space="preserve">Irrigation Australia and Hydro-Plan Irrigation Consultants 2008, </w:t>
      </w:r>
      <w:r>
        <w:rPr>
          <w:i/>
        </w:rPr>
        <w:t xml:space="preserve">Potential for Expansion of the WELS Scheme to include Domestic Irrigation Controllers </w:t>
      </w:r>
      <w:r>
        <w:t>Parkside, South Australia.</w:t>
      </w:r>
      <w:r>
        <w:tab/>
      </w:r>
    </w:p>
    <w:p w14:paraId="7057E02E" w14:textId="77777777" w:rsidR="00000000" w:rsidRDefault="00DB4BBA">
      <w:pPr>
        <w:pStyle w:val="Text"/>
        <w:jc w:val="left"/>
      </w:pPr>
      <w:r>
        <w:t>National Water Commission 2009a, 'National Water Initiative ',</w:t>
      </w:r>
      <w:r>
        <w:t xml:space="preserve"> Retrieved 8 May, 2009, from </w:t>
      </w:r>
      <w:hyperlink r:id="rId31" w:history="1">
        <w:r>
          <w:rPr>
            <w:rStyle w:val="Hyperlink"/>
            <w:rFonts w:ascii="Times New Roman" w:hAnsi="Times New Roman"/>
            <w:sz w:val="22"/>
          </w:rPr>
          <w:t>h</w:t>
        </w:r>
        <w:r>
          <w:rPr>
            <w:rStyle w:val="Hyperlink"/>
            <w:rFonts w:ascii="Times New Roman" w:hAnsi="Times New Roman"/>
            <w:sz w:val="22"/>
          </w:rPr>
          <w:t>ttp://www.nwc.gov.au/www/html/117-national-water-initiative.asp?intSiteID=1</w:t>
        </w:r>
      </w:hyperlink>
      <w:r>
        <w:t>.</w:t>
      </w:r>
      <w:r>
        <w:tab/>
      </w:r>
    </w:p>
    <w:p w14:paraId="764036C0" w14:textId="77777777" w:rsidR="00000000" w:rsidRDefault="00DB4BBA">
      <w:pPr>
        <w:pStyle w:val="Text"/>
        <w:jc w:val="left"/>
      </w:pPr>
      <w:r>
        <w:t xml:space="preserve">National Water Commission 2009b, 'Water efficiency labelling and standards (WELS) scheme - phase 2', Retrieved 28 July, 2009, from </w:t>
      </w:r>
      <w:hyperlink r:id="rId32" w:history="1">
        <w:r>
          <w:rPr>
            <w:rStyle w:val="Hyperlink"/>
            <w:rFonts w:ascii="Times New Roman" w:hAnsi="Times New Roman"/>
            <w:sz w:val="22"/>
          </w:rPr>
          <w:t>http://www.nwc.gov.au/www/html/</w:t>
        </w:r>
        <w:r>
          <w:rPr>
            <w:rStyle w:val="Hyperlink"/>
            <w:rFonts w:ascii="Times New Roman" w:hAnsi="Times New Roman"/>
            <w:sz w:val="22"/>
          </w:rPr>
          <w:t>507-water-efficiency-labelling-and-standards-wels-schemephase-2.asp</w:t>
        </w:r>
      </w:hyperlink>
      <w:r>
        <w:t>.</w:t>
      </w:r>
      <w:r>
        <w:tab/>
      </w:r>
    </w:p>
    <w:p w14:paraId="18814F46" w14:textId="77777777" w:rsidR="00000000" w:rsidRDefault="00DB4BBA">
      <w:pPr>
        <w:pStyle w:val="Text"/>
        <w:jc w:val="left"/>
      </w:pPr>
      <w:r>
        <w:t xml:space="preserve">National Water Commission and Water Services Association of Australia 2009, </w:t>
      </w:r>
      <w:r>
        <w:rPr>
          <w:i/>
        </w:rPr>
        <w:t xml:space="preserve">National Performance Report 2007-08: Residential water utilities </w:t>
      </w:r>
      <w:r>
        <w:t>Canberra.</w:t>
      </w:r>
      <w:r>
        <w:tab/>
      </w:r>
    </w:p>
    <w:p w14:paraId="33CAFD15" w14:textId="77777777" w:rsidR="00000000" w:rsidRDefault="00DB4BBA">
      <w:pPr>
        <w:pStyle w:val="Text"/>
        <w:jc w:val="left"/>
      </w:pPr>
      <w:r>
        <w:t xml:space="preserve">Productivity Commission 2008, </w:t>
      </w:r>
      <w:r>
        <w:rPr>
          <w:i/>
        </w:rPr>
        <w:t>T</w:t>
      </w:r>
      <w:r>
        <w:rPr>
          <w:i/>
        </w:rPr>
        <w:t>owards Urban Water Reform: A Discussion Paper</w:t>
      </w:r>
      <w:r>
        <w:t>, Canberra.</w:t>
      </w:r>
      <w:r>
        <w:tab/>
      </w:r>
    </w:p>
    <w:p w14:paraId="0D5BE181" w14:textId="77777777" w:rsidR="00000000" w:rsidRDefault="00DB4BBA">
      <w:pPr>
        <w:pStyle w:val="Text"/>
        <w:jc w:val="left"/>
      </w:pPr>
      <w:r>
        <w:t xml:space="preserve">Quantum 2008, </w:t>
      </w:r>
      <w:r>
        <w:rPr>
          <w:i/>
        </w:rPr>
        <w:t>Consumer Awareness and Use of The Water Efficiency Labelling and Standards (WELS) Label</w:t>
      </w:r>
      <w:r>
        <w:t>, Canberra, Department of the Environment, Water, Heritage and the Arts.</w:t>
      </w:r>
      <w:r>
        <w:tab/>
      </w:r>
    </w:p>
    <w:p w14:paraId="18E6C14C" w14:textId="77777777" w:rsidR="00000000" w:rsidRDefault="00DB4BBA">
      <w:pPr>
        <w:pStyle w:val="Text"/>
        <w:jc w:val="left"/>
      </w:pPr>
      <w:r>
        <w:t>SA Water</w:t>
      </w:r>
      <w:r>
        <w:t xml:space="preserve"> 2009, 'Garden goods rebate', Retrieved 28 July, 2009, from </w:t>
      </w:r>
      <w:hyperlink r:id="rId33" w:history="1">
        <w:r>
          <w:rPr>
            <w:rStyle w:val="Hyperlink"/>
            <w:rFonts w:ascii="Times New Roman" w:hAnsi="Times New Roman"/>
            <w:sz w:val="22"/>
          </w:rPr>
          <w:t>http://www.sawater.com.au/SAWater/YourHome/SaveWaterInYourHome/rebates_garden.htm</w:t>
        </w:r>
      </w:hyperlink>
      <w:r>
        <w:t>.</w:t>
      </w:r>
      <w:r>
        <w:tab/>
      </w:r>
    </w:p>
    <w:p w14:paraId="67923342" w14:textId="77777777" w:rsidR="00000000" w:rsidRDefault="00DB4BBA">
      <w:pPr>
        <w:pStyle w:val="Text"/>
        <w:jc w:val="left"/>
      </w:pPr>
      <w:r>
        <w:t xml:space="preserve">Smith, Stephen W. 1996, </w:t>
      </w:r>
      <w:r>
        <w:rPr>
          <w:i/>
        </w:rPr>
        <w:t xml:space="preserve">Landscape Irrigation: Design and management </w:t>
      </w:r>
      <w:r>
        <w:t>Richmond, Wiley.</w:t>
      </w:r>
      <w:r>
        <w:tab/>
      </w:r>
    </w:p>
    <w:p w14:paraId="6EC56316" w14:textId="77777777" w:rsidR="00000000" w:rsidRDefault="00DB4BBA">
      <w:pPr>
        <w:pStyle w:val="Text"/>
        <w:jc w:val="left"/>
      </w:pPr>
      <w:r>
        <w:t xml:space="preserve">Victorian Department of Sustainability and </w:t>
      </w:r>
      <w:r>
        <w:t xml:space="preserve">Environment 2009, 'Eligible products', Retrieved 28 July, 2009, from </w:t>
      </w:r>
      <w:hyperlink r:id="rId34" w:history="1">
        <w:r>
          <w:rPr>
            <w:rStyle w:val="Hyperlink"/>
            <w:rFonts w:ascii="Times New Roman" w:hAnsi="Times New Roman"/>
            <w:sz w:val="22"/>
          </w:rPr>
          <w:t>http://www.ourwater.vic.gov.au/saving/home/rebates/products</w:t>
        </w:r>
      </w:hyperlink>
      <w:r>
        <w:t>.</w:t>
      </w:r>
      <w:r>
        <w:tab/>
      </w:r>
    </w:p>
    <w:p w14:paraId="2577235A" w14:textId="77777777" w:rsidR="00000000" w:rsidRDefault="00DB4BBA">
      <w:pPr>
        <w:pStyle w:val="Text"/>
        <w:jc w:val="left"/>
      </w:pPr>
      <w:r>
        <w:t>Water Services Association of Australia 2009, 'Water restrictions and storage - March 2009', Retrieved 11 May, 2009, from https://</w:t>
      </w:r>
      <w:hyperlink r:id="rId35" w:history="1">
        <w:r>
          <w:rPr>
            <w:rStyle w:val="Hyperlink"/>
            <w:rFonts w:ascii="Times New Roman" w:hAnsi="Times New Roman"/>
            <w:sz w:val="22"/>
          </w:rPr>
          <w:t>www.wsaa.asn.au/Media/Facts/StorageLevels/Total%20Water%20Storages%20and%20Restrictions%20as%20at%20end%20March%202009.pdf</w:t>
        </w:r>
      </w:hyperlink>
      <w:r>
        <w:t>.</w:t>
      </w:r>
      <w:r>
        <w:tab/>
      </w:r>
    </w:p>
    <w:p w14:paraId="6693FDF2" w14:textId="77777777" w:rsidR="00000000" w:rsidRDefault="00DB4BBA">
      <w:pPr>
        <w:pStyle w:val="Text"/>
        <w:jc w:val="left"/>
      </w:pPr>
      <w:r>
        <w:t xml:space="preserve">Western Australian Department of Water 2009, 'Waterwise consumer rebates', Retrieved 28 July, 2009, from </w:t>
      </w:r>
      <w:hyperlink r:id="rId36" w:history="1">
        <w:r>
          <w:rPr>
            <w:rStyle w:val="Hyperlink"/>
            <w:rFonts w:ascii="Times New Roman" w:hAnsi="Times New Roman"/>
            <w:sz w:val="22"/>
          </w:rPr>
          <w:t>http://www</w:t>
        </w:r>
        <w:r>
          <w:rPr>
            <w:rStyle w:val="Hyperlink"/>
            <w:rFonts w:ascii="Times New Roman" w:hAnsi="Times New Roman"/>
            <w:sz w:val="22"/>
          </w:rPr>
          <w:t>.water.wa.gov.au/Doing+business+with+us/Waterwise+consumer+rebates/default.aspx</w:t>
        </w:r>
      </w:hyperlink>
      <w:r>
        <w:t>.</w:t>
      </w:r>
      <w:r>
        <w:tab/>
      </w:r>
    </w:p>
    <w:p w14:paraId="56822D57" w14:textId="77777777" w:rsidR="00000000" w:rsidRDefault="00DB4BBA">
      <w:pPr>
        <w:pStyle w:val="Text"/>
        <w:jc w:val="left"/>
      </w:pPr>
      <w:r>
        <w:t xml:space="preserve">Wet Earth 2009, 'Irrigation controllers and tap timers', Retrieved 28 July, 2009, from </w:t>
      </w:r>
      <w:hyperlink r:id="rId37" w:history="1">
        <w:r>
          <w:rPr>
            <w:rStyle w:val="Hyperlink"/>
            <w:rFonts w:ascii="Times New Roman" w:hAnsi="Times New Roman"/>
            <w:sz w:val="22"/>
          </w:rPr>
          <w:t>http://www.wetearth.com.au/</w:t>
        </w:r>
      </w:hyperlink>
      <w:r>
        <w:t>.</w:t>
      </w:r>
      <w:r>
        <w:tab/>
      </w:r>
    </w:p>
    <w:p w14:paraId="5B12492E" w14:textId="77777777" w:rsidR="00000000" w:rsidRDefault="00DB4BBA">
      <w:pPr>
        <w:pStyle w:val="Text"/>
        <w:jc w:val="left"/>
      </w:pPr>
      <w:r>
        <w:lastRenderedPageBreak/>
        <w:t xml:space="preserve">Zwar, J.R. 2004, 'Water sensitive urban design: A perspective from outback South Australia', Retrieved 28 July, 2009, from </w:t>
      </w:r>
      <w:hyperlink r:id="rId38" w:history="1">
        <w:r>
          <w:rPr>
            <w:rStyle w:val="Hyperlink"/>
            <w:rFonts w:ascii="Times New Roman" w:hAnsi="Times New Roman"/>
            <w:sz w:val="22"/>
          </w:rPr>
          <w:t>http://www</w:t>
        </w:r>
        <w:r>
          <w:rPr>
            <w:rStyle w:val="Hyperlink"/>
            <w:rFonts w:ascii="Times New Roman" w:hAnsi="Times New Roman"/>
            <w:sz w:val="22"/>
          </w:rPr>
          <w:t>.wsud.org/downloads/Info%20Exchange%20&amp;%20Lit/WSUD_04_Conf_Papers/WS040023.PDF</w:t>
        </w:r>
      </w:hyperlink>
      <w:r>
        <w:t>.</w:t>
      </w:r>
      <w:r>
        <w:tab/>
      </w:r>
    </w:p>
    <w:p w14:paraId="678E5D19" w14:textId="77777777" w:rsidR="00000000" w:rsidRDefault="00DB4BBA">
      <w:pPr>
        <w:pStyle w:val="Text"/>
        <w:jc w:val="left"/>
      </w:pPr>
    </w:p>
    <w:p w14:paraId="5B967DCB" w14:textId="77777777" w:rsidR="00000000" w:rsidRDefault="00DB4BBA">
      <w:pPr>
        <w:pStyle w:val="Text"/>
        <w:jc w:val="left"/>
      </w:pPr>
      <w:r>
        <w:fldChar w:fldCharType="end"/>
      </w:r>
    </w:p>
    <w:sectPr w:rsidR="00000000" w:rsidSect="005625CB">
      <w:headerReference w:type="default" r:id="rId39"/>
      <w:footerReference w:type="default" r:id="rId40"/>
      <w:pgSz w:w="11899" w:h="16838"/>
      <w:pgMar w:top="851" w:right="794" w:bottom="851" w:left="2268" w:header="454" w:footer="454" w:gutter="1418"/>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265D2" w14:textId="77777777" w:rsidR="00000000" w:rsidRDefault="00DB4BBA">
      <w:r>
        <w:separator/>
      </w:r>
    </w:p>
  </w:endnote>
  <w:endnote w:type="continuationSeparator" w:id="0">
    <w:p w14:paraId="4052ABEF" w14:textId="77777777" w:rsidR="00000000" w:rsidRDefault="00DB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Bold">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 LT">
    <w:altName w:val="Times New Roman"/>
    <w:panose1 w:val="00000000000000000000"/>
    <w:charset w:val="00"/>
    <w:family w:val="swiss"/>
    <w:notTrueType/>
    <w:pitch w:val="default"/>
    <w:sig w:usb0="00000003" w:usb1="00000000" w:usb2="00000000" w:usb3="00000000" w:csb0="00000001" w:csb1="00000000"/>
  </w:font>
  <w:font w:name="Futura">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Times-Roman">
    <w:altName w:val="Times New Roman"/>
    <w:panose1 w:val="00000000000000000000"/>
    <w:charset w:val="4D"/>
    <w:family w:val="roman"/>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3" w:type="dxa"/>
      <w:tblInd w:w="-2778" w:type="dxa"/>
      <w:tblBorders>
        <w:top w:val="single" w:sz="2" w:space="0" w:color="auto"/>
        <w:left w:val="single" w:sz="2" w:space="0" w:color="auto"/>
        <w:bottom w:val="single" w:sz="2" w:space="0" w:color="auto"/>
        <w:right w:val="single" w:sz="2" w:space="0" w:color="auto"/>
        <w:insideH w:val="single" w:sz="4" w:space="0" w:color="auto"/>
        <w:insideV w:val="single" w:sz="2" w:space="0" w:color="auto"/>
      </w:tblBorders>
      <w:tblLayout w:type="fixed"/>
      <w:tblLook w:val="0000" w:firstRow="0" w:lastRow="0" w:firstColumn="0" w:lastColumn="0" w:noHBand="0" w:noVBand="0"/>
    </w:tblPr>
    <w:tblGrid>
      <w:gridCol w:w="2813"/>
      <w:gridCol w:w="7450"/>
    </w:tblGrid>
    <w:tr w:rsidR="00000000" w14:paraId="2A307972" w14:textId="77777777">
      <w:tblPrEx>
        <w:tblCellMar>
          <w:top w:w="0" w:type="dxa"/>
          <w:bottom w:w="0" w:type="dxa"/>
        </w:tblCellMar>
      </w:tblPrEx>
      <w:tc>
        <w:tcPr>
          <w:tcW w:w="2835" w:type="dxa"/>
          <w:tcBorders>
            <w:left w:val="single" w:sz="4" w:space="0" w:color="auto"/>
            <w:right w:val="single" w:sz="4" w:space="0" w:color="auto"/>
          </w:tcBorders>
          <w:shd w:val="pct25" w:color="auto" w:fill="800000"/>
        </w:tcPr>
        <w:p w14:paraId="19FAB688" w14:textId="77777777" w:rsidR="00000000" w:rsidRDefault="00DB4BBA">
          <w:pPr>
            <w:pStyle w:val="Footer"/>
            <w:tabs>
              <w:tab w:val="clear" w:pos="4320"/>
              <w:tab w:val="clear" w:pos="8640"/>
            </w:tabs>
            <w:spacing w:before="20" w:after="20"/>
            <w:ind w:left="-108" w:right="112"/>
            <w:jc w:val="center"/>
            <w:rPr>
              <w:rFonts w:ascii="Times New Roman" w:hAnsi="Times New Roman"/>
              <w:color w:val="C0C0C0"/>
            </w:rPr>
          </w:pPr>
          <w:r>
            <w:rPr>
              <w:rFonts w:ascii="Times New Roman" w:hAnsi="Times New Roman"/>
              <w:color w:val="C0C0C0"/>
            </w:rPr>
            <w:t xml:space="preserve">The </w:t>
          </w:r>
          <w:r>
            <w:rPr>
              <w:rFonts w:ascii="Times New Roman" w:hAnsi="Times New Roman"/>
              <w:color w:val="FFFFFF"/>
            </w:rPr>
            <w:t>Allen Consulting</w:t>
          </w:r>
          <w:r>
            <w:rPr>
              <w:rFonts w:ascii="Times New Roman" w:hAnsi="Times New Roman"/>
              <w:color w:val="C0C0C0"/>
            </w:rPr>
            <w:t xml:space="preserve"> Group</w:t>
          </w:r>
        </w:p>
      </w:tc>
      <w:tc>
        <w:tcPr>
          <w:tcW w:w="7513" w:type="dxa"/>
          <w:tcBorders>
            <w:top w:val="single" w:sz="2" w:space="0" w:color="auto"/>
            <w:left w:val="single" w:sz="4" w:space="0" w:color="auto"/>
            <w:bottom w:val="nil"/>
            <w:right w:val="nil"/>
          </w:tcBorders>
        </w:tcPr>
        <w:p w14:paraId="4239459D" w14:textId="77777777" w:rsidR="00000000" w:rsidRDefault="00DB4BBA">
          <w:pPr>
            <w:pStyle w:val="Footer"/>
            <w:tabs>
              <w:tab w:val="clear" w:pos="4320"/>
              <w:tab w:val="clear" w:pos="8640"/>
            </w:tabs>
            <w:spacing w:before="20" w:after="20"/>
            <w:ind w:left="-108" w:right="112"/>
            <w:jc w:val="right"/>
            <w:rPr>
              <w:rFonts w:ascii="Times New Roman" w:hAnsi="Times New Roman"/>
              <w:color w:val="C0C0C0"/>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iii</w:t>
          </w:r>
          <w:r>
            <w:rPr>
              <w:rStyle w:val="PageNumber"/>
              <w:rFonts w:ascii="Times New Roman" w:hAnsi="Times New Roman"/>
            </w:rPr>
            <w:fldChar w:fldCharType="end"/>
          </w:r>
        </w:p>
      </w:tc>
    </w:tr>
  </w:tbl>
  <w:p w14:paraId="20AFC2FD" w14:textId="77777777" w:rsidR="00000000" w:rsidRDefault="00DB4BBA">
    <w:pPr>
      <w:pStyle w:val="Footer"/>
      <w:tabs>
        <w:tab w:val="clear" w:pos="4320"/>
        <w:tab w:val="clear" w:pos="8640"/>
      </w:tabs>
      <w:spacing w:before="20" w:after="20"/>
      <w:ind w:left="-108" w:right="112"/>
      <w:rPr>
        <w:color w:val="C0C0C0"/>
      </w:rPr>
    </w:pPr>
  </w:p>
  <w:p w14:paraId="11D81CB5" w14:textId="77777777" w:rsidR="00000000" w:rsidRDefault="00DB4BBA">
    <w:pPr>
      <w:pStyle w:val="Footer"/>
      <w:tabs>
        <w:tab w:val="clear" w:pos="4320"/>
        <w:tab w:val="clear" w:pos="8640"/>
      </w:tabs>
      <w:spacing w:before="20" w:after="20"/>
      <w:ind w:left="-108" w:right="112"/>
      <w:rPr>
        <w:color w:val="C0C0C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3" w:type="dxa"/>
      <w:tblInd w:w="-2778" w:type="dxa"/>
      <w:tblBorders>
        <w:top w:val="single" w:sz="2" w:space="0" w:color="auto"/>
        <w:left w:val="single" w:sz="2" w:space="0" w:color="auto"/>
        <w:bottom w:val="single" w:sz="2" w:space="0" w:color="auto"/>
        <w:right w:val="single" w:sz="2" w:space="0" w:color="auto"/>
        <w:insideH w:val="single" w:sz="4" w:space="0" w:color="auto"/>
        <w:insideV w:val="single" w:sz="2" w:space="0" w:color="auto"/>
      </w:tblBorders>
      <w:tblLayout w:type="fixed"/>
      <w:tblLook w:val="0000" w:firstRow="0" w:lastRow="0" w:firstColumn="0" w:lastColumn="0" w:noHBand="0" w:noVBand="0"/>
    </w:tblPr>
    <w:tblGrid>
      <w:gridCol w:w="2813"/>
      <w:gridCol w:w="7450"/>
    </w:tblGrid>
    <w:tr w:rsidR="00000000" w14:paraId="5ADBBD55" w14:textId="77777777">
      <w:tblPrEx>
        <w:tblCellMar>
          <w:top w:w="0" w:type="dxa"/>
          <w:bottom w:w="0" w:type="dxa"/>
        </w:tblCellMar>
      </w:tblPrEx>
      <w:tc>
        <w:tcPr>
          <w:tcW w:w="2835" w:type="dxa"/>
          <w:tcBorders>
            <w:left w:val="single" w:sz="4" w:space="0" w:color="auto"/>
            <w:right w:val="single" w:sz="4" w:space="0" w:color="auto"/>
          </w:tcBorders>
          <w:shd w:val="pct25" w:color="auto" w:fill="800000"/>
        </w:tcPr>
        <w:p w14:paraId="2A1E0BE2" w14:textId="77777777" w:rsidR="00000000" w:rsidRDefault="00DB4BBA">
          <w:pPr>
            <w:pStyle w:val="Footer"/>
            <w:tabs>
              <w:tab w:val="clear" w:pos="4320"/>
              <w:tab w:val="clear" w:pos="8640"/>
            </w:tabs>
            <w:spacing w:before="20" w:after="20"/>
            <w:ind w:left="-108" w:right="112"/>
            <w:jc w:val="center"/>
            <w:rPr>
              <w:rFonts w:ascii="Times New Roman" w:hAnsi="Times New Roman"/>
              <w:color w:val="C0C0C0"/>
            </w:rPr>
          </w:pPr>
          <w:r>
            <w:rPr>
              <w:rFonts w:ascii="Times New Roman" w:hAnsi="Times New Roman"/>
              <w:color w:val="C0C0C0"/>
            </w:rPr>
            <w:t xml:space="preserve">The </w:t>
          </w:r>
          <w:r>
            <w:rPr>
              <w:rFonts w:ascii="Times New Roman" w:hAnsi="Times New Roman"/>
              <w:color w:val="FFFFFF"/>
            </w:rPr>
            <w:t>Allen Consulting</w:t>
          </w:r>
          <w:r>
            <w:rPr>
              <w:rFonts w:ascii="Times New Roman" w:hAnsi="Times New Roman"/>
              <w:color w:val="C0C0C0"/>
            </w:rPr>
            <w:t xml:space="preserve"> Group</w:t>
          </w:r>
        </w:p>
      </w:tc>
      <w:tc>
        <w:tcPr>
          <w:tcW w:w="7513" w:type="dxa"/>
          <w:tcBorders>
            <w:top w:val="single" w:sz="2" w:space="0" w:color="auto"/>
            <w:left w:val="single" w:sz="4" w:space="0" w:color="auto"/>
            <w:bottom w:val="nil"/>
            <w:right w:val="nil"/>
          </w:tcBorders>
        </w:tcPr>
        <w:p w14:paraId="5DBA9B11" w14:textId="77777777" w:rsidR="00000000" w:rsidRDefault="00DB4BBA">
          <w:pPr>
            <w:pStyle w:val="Footer"/>
            <w:tabs>
              <w:tab w:val="clear" w:pos="4320"/>
              <w:tab w:val="clear" w:pos="8640"/>
            </w:tabs>
            <w:spacing w:before="20" w:after="20"/>
            <w:ind w:left="-108" w:right="112"/>
            <w:jc w:val="right"/>
            <w:rPr>
              <w:rFonts w:ascii="Times New Roman" w:hAnsi="Times New Roman"/>
              <w:color w:val="C0C0C0"/>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18</w:t>
          </w:r>
          <w:r>
            <w:rPr>
              <w:rStyle w:val="PageNumber"/>
              <w:rFonts w:ascii="Times New Roman" w:hAnsi="Times New Roman"/>
            </w:rPr>
            <w:fldChar w:fldCharType="end"/>
          </w:r>
        </w:p>
      </w:tc>
    </w:tr>
  </w:tbl>
  <w:p w14:paraId="3AFB3DC5" w14:textId="77777777" w:rsidR="00000000" w:rsidRDefault="00DB4BBA">
    <w:pPr>
      <w:pStyle w:val="Footer"/>
      <w:tabs>
        <w:tab w:val="clear" w:pos="4320"/>
        <w:tab w:val="clear" w:pos="8640"/>
      </w:tabs>
      <w:spacing w:before="20" w:after="20"/>
      <w:ind w:left="-108" w:right="112"/>
      <w:rPr>
        <w:color w:val="C0C0C0"/>
      </w:rPr>
    </w:pPr>
  </w:p>
  <w:p w14:paraId="537D8AE1" w14:textId="77777777" w:rsidR="00000000" w:rsidRDefault="00DB4BBA">
    <w:pPr>
      <w:pStyle w:val="Footer"/>
      <w:tabs>
        <w:tab w:val="clear" w:pos="4320"/>
        <w:tab w:val="clear" w:pos="8640"/>
      </w:tabs>
      <w:spacing w:before="20" w:after="20"/>
      <w:ind w:left="-108" w:right="112"/>
      <w:rPr>
        <w:color w:val="C0C0C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766A3" w14:textId="77777777" w:rsidR="00000000" w:rsidRDefault="00DB4BBA">
      <w:r>
        <w:separator/>
      </w:r>
    </w:p>
  </w:footnote>
  <w:footnote w:type="continuationSeparator" w:id="0">
    <w:p w14:paraId="7B01CF11" w14:textId="77777777" w:rsidR="00000000" w:rsidRDefault="00DB4BBA">
      <w:r>
        <w:continuationSeparator/>
      </w:r>
    </w:p>
  </w:footnote>
  <w:footnote w:id="1">
    <w:p w14:paraId="44C07C53" w14:textId="77777777" w:rsidR="00000000" w:rsidRDefault="00DB4BBA">
      <w:pPr>
        <w:pStyle w:val="FootnoteText"/>
      </w:pPr>
      <w:r>
        <w:rPr>
          <w:rStyle w:val="FootnoteReference"/>
        </w:rPr>
        <w:footnoteRef/>
      </w:r>
      <w:r>
        <w:t xml:space="preserve"> </w:t>
      </w:r>
      <w:r>
        <w:tab/>
        <w:t>The AN/NZS 6400 standard is named as the WELS standard in the 2007 Determination. The Commonwealth Minister can chang</w:t>
      </w:r>
      <w:r>
        <w:t>e the WELS standard at any time by issuing a new determination.</w:t>
      </w:r>
    </w:p>
  </w:footnote>
  <w:footnote w:id="2">
    <w:p w14:paraId="276E46C8" w14:textId="77777777" w:rsidR="00000000" w:rsidRDefault="00DB4BBA">
      <w:pPr>
        <w:pStyle w:val="FootnoteText"/>
      </w:pPr>
      <w:r>
        <w:rPr>
          <w:rStyle w:val="FootnoteReference"/>
        </w:rPr>
        <w:footnoteRef/>
      </w:r>
      <w:r>
        <w:t xml:space="preserve">     Manufacturers and retailers were allowed a ‘grace period’ until 31 December 2006 to sell existing plumbing products and until 31 December 2007 to sell existing whitegoods products. </w:t>
      </w:r>
      <w:r>
        <w:rPr>
          <w:rFonts w:cs="Arial"/>
          <w:lang w:eastAsia="en-AU"/>
        </w:rPr>
        <w:t>After the</w:t>
      </w:r>
      <w:r>
        <w:rPr>
          <w:rFonts w:cs="Arial"/>
          <w:lang w:eastAsia="en-AU"/>
        </w:rPr>
        <w:t xml:space="preserve"> 'grace periods’ were over, old stock that had not been sold had to be either registered or disposed.</w:t>
      </w:r>
    </w:p>
  </w:footnote>
  <w:footnote w:id="3">
    <w:p w14:paraId="4C9E3D33" w14:textId="77777777" w:rsidR="00000000" w:rsidRDefault="00DB4BBA">
      <w:pPr>
        <w:pStyle w:val="FootnoteText"/>
      </w:pPr>
      <w:r>
        <w:rPr>
          <w:rStyle w:val="FootnoteReference"/>
        </w:rPr>
        <w:footnoteRef/>
      </w:r>
      <w:r>
        <w:t xml:space="preserve">    Combination washer/dryers are already required to be registered and labelled for their washing mode. The program of work for the EPHC is investigating further labelling of combination washer/dryers that use water for their dryer mode.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E95DC" w14:textId="77777777" w:rsidR="00000000" w:rsidRDefault="00DB4BBA">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8D368" w14:textId="77777777" w:rsidR="00000000" w:rsidRDefault="00DB4BBA">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C450F" w14:textId="77777777" w:rsidR="00000000" w:rsidRDefault="00DB4BBA">
    <w:pPr>
      <w:pStyle w:val="Header"/>
    </w:pPr>
  </w:p>
  <w:p w14:paraId="75422723" w14:textId="77777777" w:rsidR="00000000" w:rsidRDefault="00DB4BBA">
    <w:pPr>
      <w:pStyle w:val="Header"/>
    </w:pPr>
  </w:p>
  <w:p w14:paraId="05E46FFD" w14:textId="77777777" w:rsidR="00000000" w:rsidRDefault="00DB4BBA">
    <w:pPr>
      <w:spacing w:after="180" w:line="240" w:lineRule="atLea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75ED7" w14:textId="77777777" w:rsidR="00000000" w:rsidRDefault="00DB4BBA">
    <w:pPr>
      <w:pStyle w:val="Header"/>
      <w:rPr>
        <w:smallCaps w:val="0"/>
      </w:rPr>
    </w:pPr>
  </w:p>
  <w:p w14:paraId="566E46EE" w14:textId="77777777" w:rsidR="00000000" w:rsidRDefault="00DB4BBA">
    <w:pPr>
      <w:pStyle w:val="Header"/>
    </w:pPr>
    <w:r>
      <w:t>Paper — Domestic Irrigation Controllers</w:t>
    </w:r>
  </w:p>
  <w:p w14:paraId="5FA3F6B8" w14:textId="77777777" w:rsidR="00000000" w:rsidRDefault="00DB4BBA">
    <w:pPr>
      <w:spacing w:after="180" w:line="240"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592A0F9E"/>
    <w:lvl w:ilvl="0">
      <w:start w:val="1"/>
      <w:numFmt w:val="bullet"/>
      <w:pStyle w:val="TableTextDotPoint"/>
      <w:lvlText w:val=""/>
      <w:lvlJc w:val="left"/>
      <w:pPr>
        <w:tabs>
          <w:tab w:val="num" w:pos="360"/>
        </w:tabs>
        <w:ind w:left="360" w:hanging="360"/>
      </w:pPr>
      <w:rPr>
        <w:rFonts w:ascii="Symbol" w:hAnsi="Symbol" w:hint="default"/>
        <w:b w:val="0"/>
        <w:i w:val="0"/>
        <w:color w:val="auto"/>
      </w:rPr>
    </w:lvl>
  </w:abstractNum>
  <w:abstractNum w:abstractNumId="1" w15:restartNumberingAfterBreak="0">
    <w:nsid w:val="0000000B"/>
    <w:multiLevelType w:val="singleLevel"/>
    <w:tmpl w:val="CFD0101C"/>
    <w:lvl w:ilvl="0">
      <w:start w:val="1"/>
      <w:numFmt w:val="bullet"/>
      <w:pStyle w:val="TextDashPoint"/>
      <w:lvlText w:val="–"/>
      <w:lvlJc w:val="left"/>
      <w:pPr>
        <w:tabs>
          <w:tab w:val="num" w:pos="644"/>
        </w:tabs>
        <w:ind w:left="284"/>
      </w:pPr>
      <w:rPr>
        <w:rFonts w:ascii="Times New Roman" w:hAnsi="Times New Roman" w:hint="default"/>
        <w:sz w:val="20"/>
      </w:rPr>
    </w:lvl>
  </w:abstractNum>
  <w:abstractNum w:abstractNumId="2" w15:restartNumberingAfterBreak="0">
    <w:nsid w:val="089E36AA"/>
    <w:multiLevelType w:val="hybridMultilevel"/>
    <w:tmpl w:val="6558801E"/>
    <w:lvl w:ilvl="0" w:tplc="F26C74B6">
      <w:start w:val="1"/>
      <w:numFmt w:val="lowerLetter"/>
      <w:lvlText w:val="(%1)"/>
      <w:lvlJc w:val="left"/>
      <w:pPr>
        <w:tabs>
          <w:tab w:val="num" w:pos="340"/>
        </w:tabs>
        <w:ind w:left="340" w:hanging="340"/>
      </w:pPr>
      <w:rPr>
        <w:rFonts w:ascii="Arial Bold" w:hAnsi="Arial Bold" w:cs="Times New Roman" w:hint="default"/>
        <w:b/>
        <w:i w:val="0"/>
        <w:color w:val="2578B1"/>
        <w:sz w:val="16"/>
      </w:rPr>
    </w:lvl>
    <w:lvl w:ilvl="1" w:tplc="00190C09">
      <w:start w:val="1"/>
      <w:numFmt w:val="lowerLetter"/>
      <w:lvlText w:val="%2."/>
      <w:lvlJc w:val="left"/>
      <w:pPr>
        <w:tabs>
          <w:tab w:val="num" w:pos="1440"/>
        </w:tabs>
        <w:ind w:left="1440" w:hanging="360"/>
      </w:pPr>
      <w:rPr>
        <w:rFonts w:cs="Times New Roman"/>
      </w:rPr>
    </w:lvl>
    <w:lvl w:ilvl="2" w:tplc="001B0C09" w:tentative="1">
      <w:start w:val="1"/>
      <w:numFmt w:val="lowerRoman"/>
      <w:lvlText w:val="%3."/>
      <w:lvlJc w:val="right"/>
      <w:pPr>
        <w:tabs>
          <w:tab w:val="num" w:pos="2160"/>
        </w:tabs>
        <w:ind w:left="2160" w:hanging="180"/>
      </w:pPr>
      <w:rPr>
        <w:rFonts w:cs="Times New Roman"/>
      </w:rPr>
    </w:lvl>
    <w:lvl w:ilvl="3" w:tplc="000F0C09" w:tentative="1">
      <w:start w:val="1"/>
      <w:numFmt w:val="decimal"/>
      <w:lvlText w:val="%4."/>
      <w:lvlJc w:val="left"/>
      <w:pPr>
        <w:tabs>
          <w:tab w:val="num" w:pos="2880"/>
        </w:tabs>
        <w:ind w:left="2880" w:hanging="360"/>
      </w:pPr>
      <w:rPr>
        <w:rFonts w:cs="Times New Roman"/>
      </w:rPr>
    </w:lvl>
    <w:lvl w:ilvl="4" w:tplc="00190C09" w:tentative="1">
      <w:start w:val="1"/>
      <w:numFmt w:val="lowerLetter"/>
      <w:lvlText w:val="%5."/>
      <w:lvlJc w:val="left"/>
      <w:pPr>
        <w:tabs>
          <w:tab w:val="num" w:pos="3600"/>
        </w:tabs>
        <w:ind w:left="3600" w:hanging="360"/>
      </w:pPr>
      <w:rPr>
        <w:rFonts w:cs="Times New Roman"/>
      </w:rPr>
    </w:lvl>
    <w:lvl w:ilvl="5" w:tplc="001B0C09" w:tentative="1">
      <w:start w:val="1"/>
      <w:numFmt w:val="lowerRoman"/>
      <w:lvlText w:val="%6."/>
      <w:lvlJc w:val="right"/>
      <w:pPr>
        <w:tabs>
          <w:tab w:val="num" w:pos="4320"/>
        </w:tabs>
        <w:ind w:left="4320" w:hanging="180"/>
      </w:pPr>
      <w:rPr>
        <w:rFonts w:cs="Times New Roman"/>
      </w:rPr>
    </w:lvl>
    <w:lvl w:ilvl="6" w:tplc="000F0C09" w:tentative="1">
      <w:start w:val="1"/>
      <w:numFmt w:val="decimal"/>
      <w:lvlText w:val="%7."/>
      <w:lvlJc w:val="left"/>
      <w:pPr>
        <w:tabs>
          <w:tab w:val="num" w:pos="5040"/>
        </w:tabs>
        <w:ind w:left="5040" w:hanging="360"/>
      </w:pPr>
      <w:rPr>
        <w:rFonts w:cs="Times New Roman"/>
      </w:rPr>
    </w:lvl>
    <w:lvl w:ilvl="7" w:tplc="00190C09" w:tentative="1">
      <w:start w:val="1"/>
      <w:numFmt w:val="lowerLetter"/>
      <w:lvlText w:val="%8."/>
      <w:lvlJc w:val="left"/>
      <w:pPr>
        <w:tabs>
          <w:tab w:val="num" w:pos="5760"/>
        </w:tabs>
        <w:ind w:left="5760" w:hanging="360"/>
      </w:pPr>
      <w:rPr>
        <w:rFonts w:cs="Times New Roman"/>
      </w:rPr>
    </w:lvl>
    <w:lvl w:ilvl="8" w:tplc="001B0C09" w:tentative="1">
      <w:start w:val="1"/>
      <w:numFmt w:val="lowerRoman"/>
      <w:lvlText w:val="%9."/>
      <w:lvlJc w:val="right"/>
      <w:pPr>
        <w:tabs>
          <w:tab w:val="num" w:pos="6480"/>
        </w:tabs>
        <w:ind w:left="6480" w:hanging="180"/>
      </w:pPr>
      <w:rPr>
        <w:rFonts w:cs="Times New Roman"/>
      </w:rPr>
    </w:lvl>
  </w:abstractNum>
  <w:abstractNum w:abstractNumId="3" w15:restartNumberingAfterBreak="0">
    <w:nsid w:val="13E15023"/>
    <w:multiLevelType w:val="hybridMultilevel"/>
    <w:tmpl w:val="24FA0C9A"/>
    <w:lvl w:ilvl="0" w:tplc="72A8CF4E">
      <w:start w:val="1"/>
      <w:numFmt w:val="bullet"/>
      <w:pStyle w:val="TextDotPoin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7129CA"/>
    <w:multiLevelType w:val="hybridMultilevel"/>
    <w:tmpl w:val="590CBE5C"/>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3687CA7"/>
    <w:multiLevelType w:val="multilevel"/>
    <w:tmpl w:val="C6BA7ED0"/>
    <w:lvl w:ilvl="0">
      <w:start w:val="1"/>
      <w:numFmt w:val="decimal"/>
      <w:lvlRestart w:val="0"/>
      <w:pStyle w:val="Heading1"/>
      <w:suff w:val="space"/>
      <w:lvlText w:val="Chapter %1"/>
      <w:lvlJc w:val="left"/>
      <w:rPr>
        <w:rFonts w:cs="Times New Roman" w:hint="default"/>
      </w:rPr>
    </w:lvl>
    <w:lvl w:ilvl="1">
      <w:start w:val="1"/>
      <w:numFmt w:val="none"/>
      <w:lvlRestart w:val="0"/>
      <w:pStyle w:val="Heading2"/>
      <w:suff w:val="nothing"/>
      <w:lvlText w:val=""/>
      <w:lvlJc w:val="left"/>
      <w:rPr>
        <w:rFonts w:cs="Times New Roman" w:hint="default"/>
      </w:rPr>
    </w:lvl>
    <w:lvl w:ilvl="2">
      <w:start w:val="1"/>
      <w:numFmt w:val="decimal"/>
      <w:lvlRestart w:val="0"/>
      <w:pStyle w:val="Heading3"/>
      <w:lvlText w:val="%1.%3"/>
      <w:lvlJc w:val="left"/>
      <w:pPr>
        <w:tabs>
          <w:tab w:val="num" w:pos="709"/>
        </w:tabs>
      </w:pPr>
      <w:rPr>
        <w:rFonts w:cs="Times New Roman" w:hint="default"/>
      </w:rPr>
    </w:lvl>
    <w:lvl w:ilvl="3">
      <w:start w:val="1"/>
      <w:numFmt w:val="none"/>
      <w:lvlRestart w:val="0"/>
      <w:suff w:val="nothing"/>
      <w:lvlText w:val=""/>
      <w:lvlJc w:val="left"/>
      <w:rPr>
        <w:rFonts w:cs="Times New Roman" w:hint="default"/>
      </w:rPr>
    </w:lvl>
    <w:lvl w:ilvl="4">
      <w:start w:val="1"/>
      <w:numFmt w:val="none"/>
      <w:lvlRestart w:val="0"/>
      <w:suff w:val="nothing"/>
      <w:lvlText w:val=""/>
      <w:lvlJc w:val="left"/>
      <w:rPr>
        <w:rFonts w:cs="Times New Roman" w:hint="default"/>
      </w:rPr>
    </w:lvl>
    <w:lvl w:ilvl="5">
      <w:start w:val="1"/>
      <w:numFmt w:val="decimal"/>
      <w:lvlRestart w:val="0"/>
      <w:pStyle w:val="Heading6"/>
      <w:suff w:val="space"/>
      <w:lvlText w:val="Figure %1.%6"/>
      <w:lvlJc w:val="left"/>
      <w:rPr>
        <w:rFonts w:cs="Times New Roman" w:hint="default"/>
      </w:rPr>
    </w:lvl>
    <w:lvl w:ilvl="6">
      <w:start w:val="1"/>
      <w:numFmt w:val="decimal"/>
      <w:lvlRestart w:val="0"/>
      <w:pStyle w:val="Heading7"/>
      <w:suff w:val="nothing"/>
      <w:lvlText w:val="Box %1.%7"/>
      <w:lvlJc w:val="left"/>
      <w:rPr>
        <w:rFonts w:cs="Times New Roman" w:hint="default"/>
      </w:rPr>
    </w:lvl>
    <w:lvl w:ilvl="7">
      <w:start w:val="1"/>
      <w:numFmt w:val="decimal"/>
      <w:lvlRestart w:val="0"/>
      <w:pStyle w:val="Heading8"/>
      <w:suff w:val="nothing"/>
      <w:lvlText w:val="Table %1.%8"/>
      <w:lvlJc w:val="left"/>
      <w:rPr>
        <w:rFonts w:cs="Times New Roman" w:hint="default"/>
      </w:rPr>
    </w:lvl>
    <w:lvl w:ilvl="8">
      <w:start w:val="1"/>
      <w:numFmt w:val="none"/>
      <w:lvlRestart w:val="0"/>
      <w:suff w:val="nothing"/>
      <w:lvlText w:val=""/>
      <w:lvlJc w:val="left"/>
      <w:rPr>
        <w:rFonts w:cs="Times New Roman" w:hint="default"/>
      </w:rPr>
    </w:lvl>
  </w:abstractNum>
  <w:abstractNum w:abstractNumId="6" w15:restartNumberingAfterBreak="0">
    <w:nsid w:val="25C769D4"/>
    <w:multiLevelType w:val="hybridMultilevel"/>
    <w:tmpl w:val="8238FED8"/>
    <w:lvl w:ilvl="0" w:tplc="468645DA">
      <w:start w:val="1"/>
      <w:numFmt w:val="bullet"/>
      <w:pStyle w:val="BoxDotStyle"/>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746373D"/>
    <w:multiLevelType w:val="hybridMultilevel"/>
    <w:tmpl w:val="E92A7824"/>
    <w:lvl w:ilvl="0" w:tplc="323E4284">
      <w:start w:val="1"/>
      <w:numFmt w:val="bullet"/>
      <w:pStyle w:val="RecDot"/>
      <w:lvlText w:val=""/>
      <w:lvlJc w:val="left"/>
      <w:pPr>
        <w:tabs>
          <w:tab w:val="num" w:pos="425"/>
        </w:tabs>
        <w:ind w:left="425" w:hanging="425"/>
      </w:pPr>
      <w:rPr>
        <w:rFonts w:ascii="Symbol" w:hAnsi="Symbol" w:hint="default"/>
      </w:rPr>
    </w:lvl>
    <w:lvl w:ilvl="1" w:tplc="1128DF82" w:tentative="1">
      <w:start w:val="1"/>
      <w:numFmt w:val="bullet"/>
      <w:lvlText w:val="o"/>
      <w:lvlJc w:val="left"/>
      <w:pPr>
        <w:tabs>
          <w:tab w:val="num" w:pos="1440"/>
        </w:tabs>
        <w:ind w:left="1440" w:hanging="360"/>
      </w:pPr>
      <w:rPr>
        <w:rFonts w:ascii="Courier New" w:hAnsi="Courier New" w:hint="default"/>
      </w:rPr>
    </w:lvl>
    <w:lvl w:ilvl="2" w:tplc="4B1CA5B2" w:tentative="1">
      <w:start w:val="1"/>
      <w:numFmt w:val="bullet"/>
      <w:lvlText w:val=""/>
      <w:lvlJc w:val="left"/>
      <w:pPr>
        <w:tabs>
          <w:tab w:val="num" w:pos="2160"/>
        </w:tabs>
        <w:ind w:left="2160" w:hanging="360"/>
      </w:pPr>
      <w:rPr>
        <w:rFonts w:ascii="Wingdings" w:hAnsi="Wingdings" w:hint="default"/>
      </w:rPr>
    </w:lvl>
    <w:lvl w:ilvl="3" w:tplc="E688BED0" w:tentative="1">
      <w:start w:val="1"/>
      <w:numFmt w:val="bullet"/>
      <w:lvlText w:val=""/>
      <w:lvlJc w:val="left"/>
      <w:pPr>
        <w:tabs>
          <w:tab w:val="num" w:pos="2880"/>
        </w:tabs>
        <w:ind w:left="2880" w:hanging="360"/>
      </w:pPr>
      <w:rPr>
        <w:rFonts w:ascii="Symbol" w:hAnsi="Symbol" w:hint="default"/>
      </w:rPr>
    </w:lvl>
    <w:lvl w:ilvl="4" w:tplc="38E48BEA" w:tentative="1">
      <w:start w:val="1"/>
      <w:numFmt w:val="bullet"/>
      <w:lvlText w:val="o"/>
      <w:lvlJc w:val="left"/>
      <w:pPr>
        <w:tabs>
          <w:tab w:val="num" w:pos="3600"/>
        </w:tabs>
        <w:ind w:left="3600" w:hanging="360"/>
      </w:pPr>
      <w:rPr>
        <w:rFonts w:ascii="Courier New" w:hAnsi="Courier New" w:hint="default"/>
      </w:rPr>
    </w:lvl>
    <w:lvl w:ilvl="5" w:tplc="88ACDA40" w:tentative="1">
      <w:start w:val="1"/>
      <w:numFmt w:val="bullet"/>
      <w:lvlText w:val=""/>
      <w:lvlJc w:val="left"/>
      <w:pPr>
        <w:tabs>
          <w:tab w:val="num" w:pos="4320"/>
        </w:tabs>
        <w:ind w:left="4320" w:hanging="360"/>
      </w:pPr>
      <w:rPr>
        <w:rFonts w:ascii="Wingdings" w:hAnsi="Wingdings" w:hint="default"/>
      </w:rPr>
    </w:lvl>
    <w:lvl w:ilvl="6" w:tplc="B9B6B380" w:tentative="1">
      <w:start w:val="1"/>
      <w:numFmt w:val="bullet"/>
      <w:lvlText w:val=""/>
      <w:lvlJc w:val="left"/>
      <w:pPr>
        <w:tabs>
          <w:tab w:val="num" w:pos="5040"/>
        </w:tabs>
        <w:ind w:left="5040" w:hanging="360"/>
      </w:pPr>
      <w:rPr>
        <w:rFonts w:ascii="Symbol" w:hAnsi="Symbol" w:hint="default"/>
      </w:rPr>
    </w:lvl>
    <w:lvl w:ilvl="7" w:tplc="C89003D8" w:tentative="1">
      <w:start w:val="1"/>
      <w:numFmt w:val="bullet"/>
      <w:lvlText w:val="o"/>
      <w:lvlJc w:val="left"/>
      <w:pPr>
        <w:tabs>
          <w:tab w:val="num" w:pos="5760"/>
        </w:tabs>
        <w:ind w:left="5760" w:hanging="360"/>
      </w:pPr>
      <w:rPr>
        <w:rFonts w:ascii="Courier New" w:hAnsi="Courier New" w:hint="default"/>
      </w:rPr>
    </w:lvl>
    <w:lvl w:ilvl="8" w:tplc="63FAC59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D74C3C"/>
    <w:multiLevelType w:val="multilevel"/>
    <w:tmpl w:val="2D86FBD8"/>
    <w:lvl w:ilvl="0">
      <w:start w:val="1"/>
      <w:numFmt w:val="upperLetter"/>
      <w:lvlRestart w:val="0"/>
      <w:pStyle w:val="AppendixHeading"/>
      <w:lvlText w:val="Appendix %1"/>
      <w:lvlJc w:val="left"/>
      <w:rPr>
        <w:rFonts w:cs="Times New Roman"/>
      </w:rPr>
    </w:lvl>
    <w:lvl w:ilvl="1">
      <w:start w:val="1"/>
      <w:numFmt w:val="none"/>
      <w:lvlRestart w:val="0"/>
      <w:pStyle w:val="AppendixHeading2"/>
      <w:suff w:val="nothing"/>
      <w:lvlText w:val=""/>
      <w:lvlJc w:val="left"/>
      <w:rPr>
        <w:rFonts w:cs="Times New Roman"/>
      </w:rPr>
    </w:lvl>
    <w:lvl w:ilvl="2">
      <w:start w:val="1"/>
      <w:numFmt w:val="decimal"/>
      <w:lvlRestart w:val="0"/>
      <w:pStyle w:val="AppendixHeading3"/>
      <w:lvlText w:val="%1.%3"/>
      <w:lvlJc w:val="left"/>
      <w:pPr>
        <w:tabs>
          <w:tab w:val="num" w:pos="709"/>
        </w:tabs>
      </w:pPr>
      <w:rPr>
        <w:rFonts w:cs="Times New Roman"/>
      </w:rPr>
    </w:lvl>
    <w:lvl w:ilvl="3">
      <w:start w:val="1"/>
      <w:numFmt w:val="none"/>
      <w:lvlRestart w:val="0"/>
      <w:suff w:val="nothing"/>
      <w:lvlText w:val=""/>
      <w:lvlJc w:val="left"/>
      <w:rPr>
        <w:rFonts w:cs="Times New Roman"/>
      </w:rPr>
    </w:lvl>
    <w:lvl w:ilvl="4">
      <w:start w:val="1"/>
      <w:numFmt w:val="none"/>
      <w:lvlRestart w:val="0"/>
      <w:pStyle w:val="Heading5"/>
      <w:suff w:val="nothing"/>
      <w:lvlText w:val=""/>
      <w:lvlJc w:val="left"/>
      <w:rPr>
        <w:rFonts w:cs="Times New Roman"/>
      </w:rPr>
    </w:lvl>
    <w:lvl w:ilvl="5">
      <w:start w:val="1"/>
      <w:numFmt w:val="decimal"/>
      <w:lvlRestart w:val="0"/>
      <w:pStyle w:val="AppendixHeading6"/>
      <w:suff w:val="space"/>
      <w:lvlText w:val="Figure %1.%6"/>
      <w:lvlJc w:val="left"/>
      <w:rPr>
        <w:rFonts w:cs="Times New Roman"/>
      </w:rPr>
    </w:lvl>
    <w:lvl w:ilvl="6">
      <w:start w:val="1"/>
      <w:numFmt w:val="decimal"/>
      <w:lvlRestart w:val="0"/>
      <w:pStyle w:val="AppendixHeading7"/>
      <w:suff w:val="space"/>
      <w:lvlText w:val="Box %1.%7"/>
      <w:lvlJc w:val="left"/>
      <w:rPr>
        <w:rFonts w:cs="Times New Roman"/>
      </w:rPr>
    </w:lvl>
    <w:lvl w:ilvl="7">
      <w:start w:val="1"/>
      <w:numFmt w:val="decimal"/>
      <w:lvlRestart w:val="0"/>
      <w:pStyle w:val="AppendixHeading8"/>
      <w:suff w:val="space"/>
      <w:lvlText w:val="Table %1.%8"/>
      <w:lvlJc w:val="left"/>
      <w:rPr>
        <w:rFonts w:cs="Times New Roman"/>
      </w:rPr>
    </w:lvl>
    <w:lvl w:ilvl="8">
      <w:start w:val="1"/>
      <w:numFmt w:val="decimal"/>
      <w:lvlRestart w:val="0"/>
      <w:pStyle w:val="Heading9"/>
      <w:suff w:val="nothing"/>
      <w:lvlText w:val="Attachment %9"/>
      <w:lvlJc w:val="left"/>
      <w:rPr>
        <w:rFonts w:cs="Times New Roman"/>
      </w:rPr>
    </w:lvl>
  </w:abstractNum>
  <w:num w:numId="1">
    <w:abstractNumId w:val="0"/>
  </w:num>
  <w:num w:numId="2">
    <w:abstractNumId w:val="7"/>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3"/>
  </w:num>
  <w:num w:numId="8">
    <w:abstractNumId w:val="6"/>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ibraries" w:val="&lt;ENLibraries&gt;&lt;Libraries&gt;&lt;item&gt;EWH06.enl&lt;/item&gt;&lt;/Libraries&gt;&lt;/ENLibraries&gt;"/>
  </w:docVars>
  <w:rsids>
    <w:rsidRoot w:val="00DB4BBA"/>
    <w:rsid w:val="005625CB"/>
    <w:rsid w:val="005F26A2"/>
    <w:rsid w:val="00DB4B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336ED3D"/>
  <w14:defaultImageDpi w14:val="0"/>
  <w15:docId w15:val="{7E8AA019-580D-42DE-8F08-A0448B028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sz w:val="20"/>
      <w:szCs w:val="20"/>
      <w:lang w:eastAsia="en-US"/>
    </w:rPr>
  </w:style>
  <w:style w:type="paragraph" w:styleId="Heading1">
    <w:name w:val="heading 1"/>
    <w:aliases w:val="H1,h1,Section Heading,(Chapter Nbr),No numbers,Main Heading,MAIN HEADING,1. Level 1 Heading,69%,CS Heading 1"/>
    <w:basedOn w:val="Normal"/>
    <w:next w:val="Heading2"/>
    <w:link w:val="Heading1Char"/>
    <w:uiPriority w:val="99"/>
    <w:qFormat/>
    <w:pPr>
      <w:keepNext/>
      <w:pageBreakBefore/>
      <w:numPr>
        <w:numId w:val="3"/>
      </w:numPr>
      <w:spacing w:before="100" w:after="120" w:line="240" w:lineRule="atLeast"/>
      <w:ind w:right="57"/>
      <w:outlineLvl w:val="0"/>
    </w:pPr>
    <w:rPr>
      <w:rFonts w:ascii="Times New Roman" w:hAnsi="Times New Roman"/>
      <w:i/>
      <w:color w:val="800000"/>
      <w:sz w:val="28"/>
    </w:rPr>
  </w:style>
  <w:style w:type="paragraph" w:styleId="Heading2">
    <w:name w:val="heading 2"/>
    <w:aliases w:val="h2,H2,Heading Two,Body Text (Reset numbering),Heading b,Heading 2X,1.1 Level 2 Heading,Attribute Heading 2,CS Heading 2"/>
    <w:basedOn w:val="Normal"/>
    <w:next w:val="Heading3"/>
    <w:link w:val="Heading2Char"/>
    <w:uiPriority w:val="99"/>
    <w:qFormat/>
    <w:pPr>
      <w:keepNext/>
      <w:numPr>
        <w:ilvl w:val="1"/>
        <w:numId w:val="3"/>
      </w:numPr>
      <w:spacing w:after="600"/>
      <w:ind w:right="57"/>
      <w:outlineLvl w:val="1"/>
    </w:pPr>
    <w:rPr>
      <w:rFonts w:ascii="Times New Roman" w:hAnsi="Times New Roman"/>
      <w:color w:val="800000"/>
      <w:sz w:val="36"/>
    </w:rPr>
  </w:style>
  <w:style w:type="paragraph" w:styleId="Heading3">
    <w:name w:val="heading 3"/>
    <w:aliases w:val="H3,heading 3 Char Char,h3,Level 1 - 1,Para3,(3),Numbered - 3,Sub-heading,(Appendix Nbr),H31,Presentation To,List Heading,- Side,3rd Main head,sl3,Heading 3under,- Maj Side,Mi,Minor,Headline,h31,3,Titre 3,1.1.1 Level 3 Headng,(Alt+3)"/>
    <w:basedOn w:val="Normal"/>
    <w:next w:val="Text"/>
    <w:link w:val="Heading3Char"/>
    <w:uiPriority w:val="99"/>
    <w:qFormat/>
    <w:pPr>
      <w:keepNext/>
      <w:numPr>
        <w:ilvl w:val="2"/>
        <w:numId w:val="3"/>
      </w:numPr>
      <w:spacing w:before="300" w:after="180" w:line="280" w:lineRule="atLeast"/>
      <w:ind w:right="57"/>
      <w:outlineLvl w:val="2"/>
    </w:pPr>
    <w:rPr>
      <w:b/>
      <w:color w:val="800000"/>
      <w:sz w:val="21"/>
    </w:rPr>
  </w:style>
  <w:style w:type="paragraph" w:styleId="Heading4">
    <w:name w:val="heading 4"/>
    <w:basedOn w:val="Text"/>
    <w:next w:val="Text"/>
    <w:link w:val="Heading4Char"/>
    <w:uiPriority w:val="99"/>
    <w:qFormat/>
    <w:pPr>
      <w:keepNext/>
      <w:spacing w:before="240" w:line="240" w:lineRule="atLeast"/>
      <w:ind w:right="57"/>
      <w:outlineLvl w:val="3"/>
    </w:pPr>
    <w:rPr>
      <w:rFonts w:ascii="Arial" w:hAnsi="Arial"/>
      <w:b/>
      <w:i/>
      <w:color w:val="800000"/>
      <w:sz w:val="20"/>
    </w:rPr>
  </w:style>
  <w:style w:type="paragraph" w:styleId="Heading5">
    <w:name w:val="heading 5"/>
    <w:basedOn w:val="Normal"/>
    <w:next w:val="Text"/>
    <w:link w:val="Heading5Char"/>
    <w:uiPriority w:val="99"/>
    <w:qFormat/>
    <w:pPr>
      <w:keepNext/>
      <w:numPr>
        <w:ilvl w:val="4"/>
        <w:numId w:val="5"/>
      </w:numPr>
      <w:spacing w:before="240" w:after="80" w:line="240" w:lineRule="atLeast"/>
      <w:ind w:right="57"/>
      <w:outlineLvl w:val="4"/>
    </w:pPr>
    <w:rPr>
      <w:i/>
      <w:color w:val="800000"/>
    </w:rPr>
  </w:style>
  <w:style w:type="paragraph" w:styleId="Heading6">
    <w:name w:val="heading 6"/>
    <w:aliases w:val="Legal Level 1.,Level 1,H6,CS Heading 6"/>
    <w:basedOn w:val="Normal"/>
    <w:next w:val="Normal"/>
    <w:link w:val="Heading6Char"/>
    <w:uiPriority w:val="99"/>
    <w:qFormat/>
    <w:pPr>
      <w:keepNext/>
      <w:numPr>
        <w:ilvl w:val="5"/>
        <w:numId w:val="3"/>
      </w:numPr>
      <w:pBdr>
        <w:bottom w:val="single" w:sz="2" w:space="1" w:color="auto"/>
      </w:pBdr>
      <w:spacing w:before="360" w:line="240" w:lineRule="atLeast"/>
      <w:ind w:right="57"/>
      <w:outlineLvl w:val="5"/>
    </w:pPr>
    <w:rPr>
      <w:sz w:val="16"/>
    </w:rPr>
  </w:style>
  <w:style w:type="paragraph" w:styleId="Heading7">
    <w:name w:val="heading 7"/>
    <w:aliases w:val="CS Heading 7"/>
    <w:basedOn w:val="Text"/>
    <w:next w:val="Text"/>
    <w:link w:val="Heading7Char"/>
    <w:uiPriority w:val="99"/>
    <w:qFormat/>
    <w:pPr>
      <w:keepNext/>
      <w:numPr>
        <w:ilvl w:val="6"/>
        <w:numId w:val="3"/>
      </w:numPr>
      <w:pBdr>
        <w:bottom w:val="single" w:sz="2" w:space="1" w:color="auto"/>
      </w:pBdr>
      <w:spacing w:before="360" w:after="0" w:line="240" w:lineRule="atLeast"/>
      <w:ind w:right="57"/>
      <w:jc w:val="left"/>
      <w:outlineLvl w:val="6"/>
    </w:pPr>
    <w:rPr>
      <w:rFonts w:ascii="Arial" w:hAnsi="Arial"/>
      <w:sz w:val="16"/>
    </w:rPr>
  </w:style>
  <w:style w:type="paragraph" w:styleId="Heading8">
    <w:name w:val="heading 8"/>
    <w:aliases w:val="CS Heading 8,h8"/>
    <w:basedOn w:val="Normal"/>
    <w:next w:val="Normal"/>
    <w:link w:val="Heading8Char"/>
    <w:uiPriority w:val="99"/>
    <w:qFormat/>
    <w:pPr>
      <w:keepNext/>
      <w:numPr>
        <w:ilvl w:val="7"/>
        <w:numId w:val="3"/>
      </w:numPr>
      <w:pBdr>
        <w:bottom w:val="single" w:sz="4" w:space="1" w:color="auto"/>
      </w:pBdr>
      <w:spacing w:before="360" w:line="240" w:lineRule="atLeast"/>
      <w:ind w:right="57"/>
      <w:outlineLvl w:val="7"/>
    </w:pPr>
    <w:rPr>
      <w:sz w:val="16"/>
    </w:rPr>
  </w:style>
  <w:style w:type="paragraph" w:styleId="Heading9">
    <w:name w:val="heading 9"/>
    <w:basedOn w:val="Heading1"/>
    <w:next w:val="Text"/>
    <w:link w:val="Heading9Char"/>
    <w:uiPriority w:val="99"/>
    <w:qFormat/>
    <w:pPr>
      <w:numPr>
        <w:ilvl w:val="8"/>
        <w:numId w:val="5"/>
      </w:numPr>
      <w:spacing w:before="240" w:after="60"/>
      <w:outlineLvl w:val="8"/>
    </w:p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Section Heading Char,(Chapter Nbr) Char,No numbers Char,Main Heading Char,MAIN HEADING Char,1. Level 1 Heading Char,69% Char,CS 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aliases w:val="h2 Char,H2 Char,Heading Two Char,Body Text (Reset numbering) Char,Heading b Char,Heading 2X Char,1.1 Level 2 Heading Char,Attribute Heading 2 Char,CS 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aliases w:val="H3 Char,heading 3 Char Char Char,h3 Char,Level 1 - 1 Char,Para3 Char,(3) Char,Numbered - 3 Char,Sub-heading Char,(Appendix Nbr) Char,H31 Char,Presentation To Char,List Heading Char,- Side Char,3rd Main head Char,sl3 Char,- Maj Side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customStyle="1" w:styleId="Heading6Char">
    <w:name w:val="Heading 6 Char"/>
    <w:aliases w:val="Legal Level 1. Char,Level 1 Char,H6 Char,CS Heading 6 Char"/>
    <w:basedOn w:val="DefaultParagraphFont"/>
    <w:link w:val="Heading6"/>
    <w:uiPriority w:val="9"/>
    <w:semiHidden/>
    <w:rPr>
      <w:rFonts w:asciiTheme="minorHAnsi" w:eastAsiaTheme="minorEastAsia" w:hAnsiTheme="minorHAnsi" w:cstheme="minorBidi"/>
      <w:b/>
      <w:bCs/>
      <w:lang w:eastAsia="en-US"/>
    </w:rPr>
  </w:style>
  <w:style w:type="character" w:customStyle="1" w:styleId="Heading7Char">
    <w:name w:val="Heading 7 Char"/>
    <w:aliases w:val="CS Heading 7 Char"/>
    <w:basedOn w:val="DefaultParagraphFont"/>
    <w:link w:val="Heading7"/>
    <w:uiPriority w:val="9"/>
    <w:semiHidden/>
    <w:rPr>
      <w:rFonts w:asciiTheme="minorHAnsi" w:eastAsiaTheme="minorEastAsia" w:hAnsiTheme="minorHAnsi" w:cstheme="minorBidi"/>
      <w:sz w:val="24"/>
      <w:szCs w:val="24"/>
      <w:lang w:eastAsia="en-US"/>
    </w:rPr>
  </w:style>
  <w:style w:type="character" w:customStyle="1" w:styleId="Heading8Char">
    <w:name w:val="Heading 8 Char"/>
    <w:aliases w:val="CS Heading 8 Char,h8 Char"/>
    <w:basedOn w:val="DefaultParagraphFont"/>
    <w:link w:val="Heading8"/>
    <w:uiPriority w:val="9"/>
    <w:semiHidden/>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eastAsia="en-US"/>
    </w:rPr>
  </w:style>
  <w:style w:type="paragraph" w:customStyle="1" w:styleId="Text">
    <w:name w:val="Text"/>
    <w:basedOn w:val="Normal"/>
    <w:uiPriority w:val="99"/>
    <w:pPr>
      <w:keepLines/>
      <w:spacing w:after="180" w:line="270" w:lineRule="exact"/>
      <w:jc w:val="both"/>
    </w:pPr>
    <w:rPr>
      <w:rFonts w:ascii="Times New Roman" w:hAnsi="Times New Roman"/>
      <w:sz w:val="22"/>
    </w:rPr>
  </w:style>
  <w:style w:type="paragraph" w:styleId="TOC8">
    <w:name w:val="toc 8"/>
    <w:basedOn w:val="Normal"/>
    <w:next w:val="Normal"/>
    <w:autoRedefine/>
    <w:uiPriority w:val="99"/>
    <w:pPr>
      <w:ind w:left="1400"/>
    </w:pPr>
  </w:style>
  <w:style w:type="paragraph" w:styleId="TOC9">
    <w:name w:val="toc 9"/>
    <w:basedOn w:val="Normal"/>
    <w:next w:val="Normal"/>
    <w:autoRedefine/>
    <w:uiPriority w:val="99"/>
    <w:pPr>
      <w:ind w:left="1600"/>
    </w:pPr>
  </w:style>
  <w:style w:type="paragraph" w:styleId="TOCHeading">
    <w:name w:val="TOC Heading"/>
    <w:basedOn w:val="Normal"/>
    <w:uiPriority w:val="99"/>
    <w:qFormat/>
    <w:pPr>
      <w:keepNext/>
      <w:spacing w:before="360" w:after="1600" w:line="240" w:lineRule="atLeast"/>
      <w:ind w:left="-2694" w:right="373"/>
    </w:pPr>
    <w:rPr>
      <w:rFonts w:ascii="Times New Roman" w:hAnsi="Times New Roman"/>
      <w:color w:val="800000"/>
      <w:sz w:val="36"/>
    </w:rPr>
  </w:style>
  <w:style w:type="paragraph" w:customStyle="1" w:styleId="TPDate">
    <w:name w:val="TP Date"/>
    <w:basedOn w:val="Normal"/>
    <w:next w:val="Normal"/>
    <w:uiPriority w:val="99"/>
    <w:pPr>
      <w:spacing w:before="160" w:line="240" w:lineRule="atLeast"/>
      <w:ind w:left="284" w:right="51"/>
    </w:pPr>
    <w:rPr>
      <w:b/>
      <w:color w:val="FFFFFF"/>
    </w:rPr>
  </w:style>
  <w:style w:type="paragraph" w:customStyle="1" w:styleId="TPMainTitle">
    <w:name w:val="TP Main Title"/>
    <w:basedOn w:val="Normal"/>
    <w:next w:val="Normal"/>
    <w:uiPriority w:val="99"/>
    <w:pPr>
      <w:framePr w:w="7785" w:h="721" w:hSpace="180" w:wrap="auto" w:vAnchor="text" w:hAnchor="page" w:x="4033" w:y="6881"/>
      <w:tabs>
        <w:tab w:val="left" w:pos="1701"/>
        <w:tab w:val="right" w:pos="8460"/>
      </w:tabs>
      <w:spacing w:before="40" w:line="240" w:lineRule="atLeast"/>
      <w:ind w:left="284" w:right="51"/>
    </w:pPr>
    <w:rPr>
      <w:rFonts w:ascii="Times New Roman" w:hAnsi="Times New Roman"/>
      <w:color w:val="000000"/>
      <w:sz w:val="44"/>
    </w:rPr>
  </w:style>
  <w:style w:type="paragraph" w:customStyle="1" w:styleId="TPReportto">
    <w:name w:val="TP Report to"/>
    <w:basedOn w:val="Normal"/>
    <w:next w:val="Normal"/>
    <w:uiPriority w:val="99"/>
    <w:pPr>
      <w:framePr w:w="8849" w:h="1009" w:hSpace="180" w:wrap="auto" w:vAnchor="text" w:hAnchor="page" w:x="1297" w:y="2741"/>
      <w:spacing w:after="360" w:line="240" w:lineRule="atLeast"/>
      <w:ind w:left="284" w:right="51"/>
    </w:pPr>
    <w:rPr>
      <w:color w:val="000000"/>
    </w:rPr>
  </w:style>
  <w:style w:type="paragraph" w:customStyle="1" w:styleId="TPSubTitle">
    <w:name w:val="TP Sub Title"/>
    <w:basedOn w:val="TPMainTitle"/>
    <w:next w:val="Normal"/>
    <w:uiPriority w:val="99"/>
    <w:pPr>
      <w:framePr w:w="8100" w:h="810" w:wrap="auto" w:x="3682" w:y="9745"/>
    </w:pPr>
    <w:rPr>
      <w:sz w:val="36"/>
    </w:rPr>
  </w:style>
  <w:style w:type="paragraph" w:styleId="TOC1">
    <w:name w:val="toc 1"/>
    <w:basedOn w:val="Normal"/>
    <w:next w:val="Normal"/>
    <w:autoRedefine/>
    <w:uiPriority w:val="99"/>
    <w:pPr>
      <w:pBdr>
        <w:top w:val="single" w:sz="2" w:space="1" w:color="auto"/>
      </w:pBdr>
      <w:tabs>
        <w:tab w:val="right" w:pos="7088"/>
      </w:tabs>
      <w:spacing w:before="300"/>
      <w:ind w:left="284" w:right="374"/>
    </w:pPr>
    <w:rPr>
      <w:rFonts w:ascii="Times New Roman" w:hAnsi="Times New Roman"/>
      <w:noProof/>
      <w:sz w:val="22"/>
    </w:rPr>
  </w:style>
  <w:style w:type="paragraph" w:styleId="TOC2">
    <w:name w:val="toc 2"/>
    <w:basedOn w:val="TOC1"/>
    <w:autoRedefine/>
    <w:uiPriority w:val="99"/>
    <w:pPr>
      <w:pBdr>
        <w:top w:val="none" w:sz="0" w:space="0" w:color="auto"/>
      </w:pBdr>
      <w:spacing w:before="0" w:after="40"/>
    </w:pPr>
    <w:rPr>
      <w:i/>
      <w:sz w:val="24"/>
    </w:rPr>
  </w:style>
  <w:style w:type="paragraph" w:styleId="TOC3">
    <w:name w:val="toc 3"/>
    <w:basedOn w:val="Normal"/>
    <w:next w:val="Normal"/>
    <w:autoRedefine/>
    <w:uiPriority w:val="99"/>
    <w:pPr>
      <w:pBdr>
        <w:top w:val="single" w:sz="2" w:space="1" w:color="auto"/>
        <w:between w:val="single" w:sz="2" w:space="1" w:color="auto"/>
      </w:pBdr>
      <w:tabs>
        <w:tab w:val="left" w:pos="1200"/>
        <w:tab w:val="right" w:pos="7088"/>
      </w:tabs>
      <w:spacing w:after="40" w:line="240" w:lineRule="atLeast"/>
      <w:ind w:left="993" w:right="373" w:hanging="426"/>
    </w:pPr>
    <w:rPr>
      <w:noProof/>
    </w:rPr>
  </w:style>
  <w:style w:type="paragraph" w:styleId="TOC4">
    <w:name w:val="toc 4"/>
    <w:basedOn w:val="Normal"/>
    <w:next w:val="Normal"/>
    <w:autoRedefine/>
    <w:uiPriority w:val="99"/>
    <w:pPr>
      <w:ind w:left="600"/>
    </w:pPr>
  </w:style>
  <w:style w:type="paragraph" w:styleId="TOC5">
    <w:name w:val="toc 5"/>
    <w:basedOn w:val="Normal"/>
    <w:next w:val="Normal"/>
    <w:autoRedefine/>
    <w:uiPriority w:val="99"/>
    <w:pPr>
      <w:ind w:left="800"/>
    </w:pPr>
  </w:style>
  <w:style w:type="paragraph" w:styleId="TOC6">
    <w:name w:val="toc 6"/>
    <w:basedOn w:val="Normal"/>
    <w:next w:val="Normal"/>
    <w:autoRedefine/>
    <w:uiPriority w:val="99"/>
    <w:pPr>
      <w:ind w:left="1000"/>
    </w:pPr>
  </w:style>
  <w:style w:type="paragraph" w:styleId="TOC7">
    <w:name w:val="toc 7"/>
    <w:basedOn w:val="Normal"/>
    <w:next w:val="Normal"/>
    <w:autoRedefine/>
    <w:uiPriority w:val="99"/>
    <w:pPr>
      <w:ind w:left="1200"/>
    </w:pPr>
  </w:style>
  <w:style w:type="paragraph" w:customStyle="1" w:styleId="SideQuote">
    <w:name w:val="Side Quote"/>
    <w:basedOn w:val="Normal"/>
    <w:next w:val="SideQuoteSource"/>
    <w:uiPriority w:val="99"/>
    <w:pPr>
      <w:framePr w:w="3319" w:hSpace="181" w:wrap="around" w:vAnchor="text" w:hAnchor="page" w:x="144" w:y="61"/>
      <w:spacing w:after="120"/>
      <w:ind w:left="709" w:right="373"/>
    </w:pPr>
    <w:rPr>
      <w:rFonts w:ascii="Times New Roman" w:hAnsi="Times New Roman"/>
      <w:i/>
      <w:color w:val="800000"/>
      <w:sz w:val="16"/>
    </w:rPr>
  </w:style>
  <w:style w:type="paragraph" w:customStyle="1" w:styleId="SideQuoteSource">
    <w:name w:val="Side Quote Source"/>
    <w:basedOn w:val="SideQuote"/>
    <w:next w:val="SideQuote"/>
    <w:uiPriority w:val="99"/>
    <w:pPr>
      <w:framePr w:wrap="around"/>
      <w:spacing w:after="0"/>
      <w:jc w:val="right"/>
    </w:pPr>
    <w:rPr>
      <w:sz w:val="15"/>
    </w:rPr>
  </w:style>
  <w:style w:type="paragraph" w:customStyle="1" w:styleId="TableBodyText">
    <w:name w:val="Table Body Text"/>
    <w:basedOn w:val="Normal"/>
    <w:uiPriority w:val="99"/>
  </w:style>
  <w:style w:type="paragraph" w:customStyle="1" w:styleId="TableHeads">
    <w:name w:val="Table Heads"/>
    <w:basedOn w:val="Normal"/>
    <w:uiPriority w:val="99"/>
    <w:pPr>
      <w:keepNext/>
      <w:keepLines/>
      <w:spacing w:before="80" w:after="80"/>
      <w:ind w:right="232"/>
      <w:jc w:val="center"/>
    </w:pPr>
    <w:rPr>
      <w:b/>
      <w:sz w:val="18"/>
    </w:rPr>
  </w:style>
  <w:style w:type="paragraph" w:customStyle="1" w:styleId="TableSource">
    <w:name w:val="Table Source"/>
    <w:basedOn w:val="Text"/>
    <w:next w:val="Text"/>
    <w:uiPriority w:val="99"/>
    <w:pPr>
      <w:keepLines w:val="0"/>
      <w:pBdr>
        <w:bottom w:val="single" w:sz="2" w:space="1" w:color="auto"/>
      </w:pBdr>
      <w:spacing w:before="120" w:after="600" w:line="240" w:lineRule="auto"/>
      <w:ind w:right="57"/>
    </w:pPr>
    <w:rPr>
      <w:rFonts w:ascii="Arial" w:hAnsi="Arial"/>
      <w:sz w:val="16"/>
    </w:rPr>
  </w:style>
  <w:style w:type="paragraph" w:customStyle="1" w:styleId="TableText">
    <w:name w:val="Table Text"/>
    <w:basedOn w:val="Normal"/>
    <w:uiPriority w:val="99"/>
    <w:pPr>
      <w:keepNext/>
      <w:spacing w:before="60" w:after="60"/>
      <w:ind w:right="57"/>
    </w:pPr>
    <w:rPr>
      <w:sz w:val="18"/>
    </w:rPr>
  </w:style>
  <w:style w:type="paragraph" w:customStyle="1" w:styleId="TableTitle">
    <w:name w:val="Table Title"/>
    <w:basedOn w:val="Normal"/>
    <w:uiPriority w:val="99"/>
    <w:pPr>
      <w:keepNext/>
      <w:spacing w:after="160" w:line="240" w:lineRule="atLeast"/>
      <w:ind w:right="57"/>
    </w:pPr>
    <w:rPr>
      <w:b/>
      <w:caps/>
      <w:sz w:val="18"/>
    </w:rPr>
  </w:style>
  <w:style w:type="paragraph" w:customStyle="1" w:styleId="TableUnitsRow">
    <w:name w:val="Table Units Row"/>
    <w:basedOn w:val="TableBodyText"/>
    <w:uiPriority w:val="99"/>
  </w:style>
  <w:style w:type="paragraph" w:customStyle="1" w:styleId="TableTextDotPoint">
    <w:name w:val="TableTextDotPoint"/>
    <w:basedOn w:val="TableText"/>
    <w:uiPriority w:val="99"/>
    <w:pPr>
      <w:numPr>
        <w:numId w:val="1"/>
      </w:numPr>
      <w:tabs>
        <w:tab w:val="clear" w:pos="360"/>
        <w:tab w:val="left" w:pos="142"/>
      </w:tabs>
      <w:ind w:left="142" w:hanging="142"/>
    </w:pPr>
  </w:style>
  <w:style w:type="paragraph" w:customStyle="1" w:styleId="TextDashPoint">
    <w:name w:val="Text Dash Point"/>
    <w:basedOn w:val="Normal"/>
    <w:uiPriority w:val="99"/>
    <w:pPr>
      <w:numPr>
        <w:numId w:val="6"/>
      </w:numPr>
      <w:spacing w:after="160" w:line="270" w:lineRule="exact"/>
      <w:ind w:left="709" w:hanging="284"/>
      <w:jc w:val="both"/>
    </w:pPr>
    <w:rPr>
      <w:rFonts w:ascii="Times New Roman" w:hAnsi="Times New Roman"/>
      <w:sz w:val="22"/>
    </w:rPr>
  </w:style>
  <w:style w:type="paragraph" w:customStyle="1" w:styleId="TextDotPoint">
    <w:name w:val="Text Dot Point"/>
    <w:basedOn w:val="Text"/>
    <w:uiPriority w:val="99"/>
    <w:pPr>
      <w:numPr>
        <w:numId w:val="7"/>
      </w:numPr>
      <w:tabs>
        <w:tab w:val="clear" w:pos="360"/>
      </w:tabs>
      <w:spacing w:after="160"/>
      <w:ind w:left="425" w:hanging="425"/>
    </w:pPr>
  </w:style>
  <w:style w:type="paragraph" w:styleId="NormalWeb">
    <w:name w:val="Normal (Web)"/>
    <w:basedOn w:val="Normal"/>
    <w:uiPriority w:val="99"/>
    <w:pPr>
      <w:spacing w:before="100" w:beforeAutospacing="1" w:after="100" w:afterAutospacing="1"/>
    </w:pPr>
    <w:rPr>
      <w:rFonts w:ascii="Times New Roman" w:hAnsi="Times New Roman"/>
      <w:sz w:val="24"/>
      <w:lang w:val="en-US"/>
    </w:rPr>
  </w:style>
  <w:style w:type="paragraph" w:customStyle="1" w:styleId="Note">
    <w:name w:val="Note"/>
    <w:basedOn w:val="BodyText"/>
    <w:next w:val="Text"/>
    <w:uiPriority w:val="99"/>
    <w:pPr>
      <w:keepLines/>
      <w:spacing w:before="80" w:line="220" w:lineRule="exact"/>
      <w:jc w:val="both"/>
    </w:pPr>
    <w:rPr>
      <w:b w:val="0"/>
      <w:sz w:val="18"/>
    </w:rPr>
  </w:style>
  <w:style w:type="paragraph" w:styleId="BodyText">
    <w:name w:val="Body Text"/>
    <w:basedOn w:val="Normal"/>
    <w:link w:val="BodyTextChar"/>
    <w:uiPriority w:val="99"/>
    <w:rPr>
      <w:b/>
      <w:color w:val="FFFFFF"/>
    </w:rPr>
  </w:style>
  <w:style w:type="character" w:customStyle="1" w:styleId="BodyTextChar">
    <w:name w:val="Body Text Char"/>
    <w:basedOn w:val="DefaultParagraphFont"/>
    <w:link w:val="BodyText"/>
    <w:uiPriority w:val="99"/>
    <w:semiHidden/>
    <w:rPr>
      <w:rFonts w:ascii="Arial" w:hAnsi="Arial"/>
      <w:sz w:val="20"/>
      <w:szCs w:val="20"/>
      <w:lang w:eastAsia="en-US"/>
    </w:rPr>
  </w:style>
  <w:style w:type="character" w:customStyle="1" w:styleId="NoteLabel">
    <w:name w:val="Note Label"/>
    <w:basedOn w:val="DefaultParagraphFont"/>
    <w:uiPriority w:val="99"/>
    <w:rPr>
      <w:rFonts w:ascii="Arial" w:hAnsi="Arial" w:cs="Times New Roman"/>
      <w:b/>
      <w:position w:val="6"/>
      <w:sz w:val="18"/>
    </w:rPr>
  </w:style>
  <w:style w:type="paragraph" w:customStyle="1" w:styleId="Number">
    <w:name w:val="Number"/>
    <w:basedOn w:val="Normal"/>
    <w:next w:val="Normal"/>
    <w:uiPriority w:val="99"/>
    <w:pPr>
      <w:framePr w:w="9367" w:h="1280" w:hSpace="180" w:wrap="around" w:vAnchor="text" w:hAnchor="page" w:x="1709" w:y="3550"/>
      <w:pBdr>
        <w:bottom w:val="single" w:sz="4" w:space="1" w:color="auto"/>
      </w:pBdr>
    </w:pPr>
    <w:rPr>
      <w:rFonts w:ascii="Times New Roman" w:hAnsi="Times New Roman"/>
      <w:sz w:val="96"/>
    </w:rPr>
  </w:style>
  <w:style w:type="character" w:styleId="PageNumber">
    <w:name w:val="page number"/>
    <w:basedOn w:val="DefaultParagraphFont"/>
    <w:uiPriority w:val="99"/>
    <w:rPr>
      <w:rFonts w:cs="Times New Roman"/>
    </w:rPr>
  </w:style>
  <w:style w:type="paragraph" w:customStyle="1" w:styleId="PartDivider">
    <w:name w:val="Part Divider"/>
    <w:basedOn w:val="Normal"/>
    <w:next w:val="Normal"/>
    <w:uiPriority w:val="99"/>
    <w:pPr>
      <w:spacing w:line="40" w:lineRule="exact"/>
      <w:jc w:val="right"/>
    </w:pPr>
    <w:rPr>
      <w:rFonts w:ascii="Times New Roman" w:hAnsi="Times New Roman"/>
      <w:smallCaps/>
      <w:sz w:val="16"/>
    </w:rPr>
  </w:style>
  <w:style w:type="paragraph" w:customStyle="1" w:styleId="PartNo">
    <w:name w:val="Part No."/>
    <w:basedOn w:val="Heading2"/>
    <w:next w:val="Normal"/>
    <w:uiPriority w:val="99"/>
    <w:pPr>
      <w:framePr w:w="3788" w:h="431" w:hSpace="181" w:wrap="around" w:vAnchor="page" w:hAnchor="page" w:x="4176" w:y="7489"/>
      <w:outlineLvl w:val="9"/>
    </w:pPr>
    <w:rPr>
      <w:b/>
      <w:i/>
    </w:rPr>
  </w:style>
  <w:style w:type="paragraph" w:customStyle="1" w:styleId="PartTitle">
    <w:name w:val="Part Title"/>
    <w:basedOn w:val="Heading2"/>
    <w:next w:val="Text"/>
    <w:uiPriority w:val="99"/>
    <w:pPr>
      <w:framePr w:w="3788" w:h="431" w:hSpace="181" w:wrap="around" w:vAnchor="page" w:hAnchor="page" w:x="4176" w:y="7489"/>
      <w:ind w:right="393"/>
      <w:outlineLvl w:val="9"/>
    </w:pPr>
    <w:rPr>
      <w:b/>
      <w:i/>
    </w:rPr>
  </w:style>
  <w:style w:type="paragraph" w:styleId="Quote">
    <w:name w:val="Quote"/>
    <w:basedOn w:val="Normal"/>
    <w:next w:val="Text"/>
    <w:link w:val="QuoteChar"/>
    <w:uiPriority w:val="99"/>
    <w:qFormat/>
    <w:pPr>
      <w:keepLines/>
      <w:spacing w:after="180" w:line="220" w:lineRule="exact"/>
      <w:ind w:left="425" w:right="91"/>
      <w:jc w:val="both"/>
    </w:pPr>
    <w:rPr>
      <w:rFonts w:ascii="Times New Roman" w:hAnsi="Times New Roman"/>
      <w:sz w:val="18"/>
    </w:rPr>
  </w:style>
  <w:style w:type="character" w:customStyle="1" w:styleId="QuoteChar">
    <w:name w:val="Quote Char"/>
    <w:basedOn w:val="DefaultParagraphFont"/>
    <w:link w:val="Quote"/>
    <w:uiPriority w:val="29"/>
    <w:rPr>
      <w:rFonts w:ascii="Arial" w:hAnsi="Arial"/>
      <w:i/>
      <w:iCs/>
      <w:color w:val="404040" w:themeColor="text1" w:themeTint="BF"/>
      <w:sz w:val="20"/>
      <w:szCs w:val="20"/>
      <w:lang w:eastAsia="en-US"/>
    </w:rPr>
  </w:style>
  <w:style w:type="paragraph" w:customStyle="1" w:styleId="QuoteSource">
    <w:name w:val="Quote Source"/>
    <w:basedOn w:val="Quote"/>
    <w:next w:val="Text"/>
    <w:uiPriority w:val="99"/>
    <w:pPr>
      <w:jc w:val="right"/>
    </w:pPr>
    <w:rPr>
      <w:color w:val="000000"/>
    </w:rPr>
  </w:style>
  <w:style w:type="paragraph" w:customStyle="1" w:styleId="Rectext">
    <w:name w:val="Rec text"/>
    <w:basedOn w:val="Text"/>
    <w:uiPriority w:val="99"/>
    <w:pPr>
      <w:shd w:val="clear" w:color="auto" w:fill="E6E6E6"/>
      <w:spacing w:before="120" w:after="240"/>
    </w:pPr>
    <w:rPr>
      <w:i/>
      <w:sz w:val="20"/>
    </w:rPr>
  </w:style>
  <w:style w:type="paragraph" w:customStyle="1" w:styleId="Rectitle">
    <w:name w:val="Rec title"/>
    <w:basedOn w:val="Text"/>
    <w:next w:val="Rectext"/>
    <w:uiPriority w:val="99"/>
    <w:pPr>
      <w:shd w:val="clear" w:color="auto" w:fill="E6E6E6"/>
      <w:spacing w:before="240" w:after="0"/>
    </w:pPr>
    <w:rPr>
      <w:b/>
      <w:sz w:val="21"/>
    </w:rPr>
  </w:style>
  <w:style w:type="paragraph" w:customStyle="1" w:styleId="RecDot">
    <w:name w:val="RecDot"/>
    <w:basedOn w:val="Rectext"/>
    <w:uiPriority w:val="99"/>
    <w:pPr>
      <w:numPr>
        <w:numId w:val="2"/>
      </w:numPr>
    </w:pPr>
  </w:style>
  <w:style w:type="paragraph" w:customStyle="1" w:styleId="BoxText">
    <w:name w:val="BoxText"/>
    <w:basedOn w:val="Normal"/>
    <w:uiPriority w:val="99"/>
    <w:pPr>
      <w:spacing w:before="60" w:after="60"/>
      <w:ind w:right="57"/>
      <w:jc w:val="both"/>
    </w:pPr>
    <w:rPr>
      <w:sz w:val="18"/>
    </w:rPr>
  </w:style>
  <w:style w:type="paragraph" w:customStyle="1" w:styleId="BoxDotStyle">
    <w:name w:val="BoxDotStyle"/>
    <w:basedOn w:val="BoxText"/>
    <w:uiPriority w:val="99"/>
    <w:pPr>
      <w:numPr>
        <w:numId w:val="8"/>
      </w:numPr>
      <w:tabs>
        <w:tab w:val="clear" w:pos="360"/>
      </w:tabs>
      <w:ind w:left="284" w:right="0" w:hanging="284"/>
    </w:pPr>
  </w:style>
  <w:style w:type="character" w:styleId="CommentReference">
    <w:name w:val="annotation reference"/>
    <w:basedOn w:val="DefaultParagraphFont"/>
    <w:uiPriority w:val="99"/>
    <w:rPr>
      <w:rFonts w:cs="Times New Roman"/>
      <w:sz w:val="18"/>
    </w:rPr>
  </w:style>
  <w:style w:type="paragraph" w:styleId="CommentText">
    <w:name w:val="annotation text"/>
    <w:basedOn w:val="Normal"/>
    <w:link w:val="CommentTextChar"/>
    <w:uiPriority w:val="99"/>
    <w:rPr>
      <w:sz w:val="24"/>
    </w:rPr>
  </w:style>
  <w:style w:type="character" w:customStyle="1" w:styleId="CommentTextChar">
    <w:name w:val="Comment Text Char"/>
    <w:basedOn w:val="DefaultParagraphFont"/>
    <w:link w:val="CommentText"/>
    <w:uiPriority w:val="99"/>
    <w:rPr>
      <w:rFonts w:ascii="Arial" w:hAnsi="Arial" w:cs="Times New Roman"/>
      <w:sz w:val="24"/>
      <w:lang w:val="x-none" w:eastAsia="en-US"/>
    </w:rPr>
  </w:style>
  <w:style w:type="paragraph" w:customStyle="1" w:styleId="CoverpageHeading">
    <w:name w:val="CoverpageHeading"/>
    <w:basedOn w:val="Normal"/>
    <w:uiPriority w:val="99"/>
    <w:rPr>
      <w:b/>
      <w:color w:val="FFFFFF"/>
      <w:sz w:val="280"/>
    </w:rPr>
  </w:style>
  <w:style w:type="paragraph" w:customStyle="1" w:styleId="FigureTitle">
    <w:name w:val="Figure Title"/>
    <w:basedOn w:val="Normal"/>
    <w:next w:val="Normal"/>
    <w:uiPriority w:val="99"/>
    <w:pPr>
      <w:keepNext/>
      <w:keepLines/>
      <w:spacing w:before="360" w:after="80" w:line="280" w:lineRule="exact"/>
      <w:ind w:left="1474" w:hanging="1474"/>
    </w:pPr>
  </w:style>
  <w:style w:type="paragraph" w:customStyle="1" w:styleId="FindingTitle">
    <w:name w:val="Finding Title"/>
    <w:basedOn w:val="Normal"/>
    <w:next w:val="Normal"/>
    <w:uiPriority w:val="99"/>
    <w:pPr>
      <w:keepNext/>
      <w:framePr w:hSpace="181" w:wrap="notBeside" w:vAnchor="text" w:hAnchor="text" w:xAlign="outside" w:y="1"/>
      <w:spacing w:before="240" w:line="320" w:lineRule="exact"/>
      <w:jc w:val="both"/>
    </w:pPr>
    <w:rPr>
      <w:caps/>
      <w:sz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Arial" w:hAnsi="Arial"/>
      <w:sz w:val="20"/>
      <w:szCs w:val="20"/>
      <w:lang w:eastAsia="en-US"/>
    </w:rPr>
  </w:style>
  <w:style w:type="character" w:styleId="FootnoteReference">
    <w:name w:val="footnote reference"/>
    <w:basedOn w:val="DefaultParagraphFont"/>
    <w:uiPriority w:val="99"/>
    <w:rPr>
      <w:rFonts w:ascii="Times New Roman" w:hAnsi="Times New Roman"/>
      <w:color w:val="auto"/>
      <w:position w:val="6"/>
      <w:sz w:val="16"/>
      <w:vertAlign w:val="superscript"/>
    </w:rPr>
  </w:style>
  <w:style w:type="paragraph" w:styleId="FootnoteText">
    <w:name w:val="footnote text"/>
    <w:basedOn w:val="Normal"/>
    <w:link w:val="FootnoteTextChar"/>
    <w:uiPriority w:val="99"/>
    <w:pPr>
      <w:ind w:left="284" w:hanging="284"/>
      <w:jc w:val="both"/>
    </w:pPr>
    <w:rPr>
      <w:rFonts w:ascii="Times New Roman" w:hAnsi="Times New Roman"/>
      <w:sz w:val="16"/>
    </w:rPr>
  </w:style>
  <w:style w:type="character" w:customStyle="1" w:styleId="FootnoteTextChar">
    <w:name w:val="Footnote Text Char"/>
    <w:basedOn w:val="DefaultParagraphFont"/>
    <w:link w:val="FootnoteText"/>
    <w:uiPriority w:val="99"/>
    <w:semiHidden/>
    <w:rPr>
      <w:rFonts w:ascii="Arial" w:hAnsi="Arial"/>
      <w:sz w:val="20"/>
      <w:szCs w:val="20"/>
      <w:lang w:eastAsia="en-US"/>
    </w:rPr>
  </w:style>
  <w:style w:type="paragraph" w:styleId="Header">
    <w:name w:val="header"/>
    <w:basedOn w:val="Normal"/>
    <w:link w:val="HeaderChar"/>
    <w:uiPriority w:val="99"/>
    <w:pPr>
      <w:pBdr>
        <w:bottom w:val="single" w:sz="4" w:space="1" w:color="auto"/>
      </w:pBdr>
      <w:tabs>
        <w:tab w:val="center" w:pos="3969"/>
        <w:tab w:val="right" w:pos="8460"/>
      </w:tabs>
      <w:spacing w:after="40" w:line="280" w:lineRule="atLeast"/>
      <w:ind w:left="-2835"/>
      <w:jc w:val="both"/>
    </w:pPr>
    <w:rPr>
      <w:rFonts w:ascii="Times New Roman" w:hAnsi="Times New Roman"/>
      <w:smallCaps/>
      <w:spacing w:val="40"/>
      <w:sz w:val="16"/>
    </w:rPr>
  </w:style>
  <w:style w:type="character" w:customStyle="1" w:styleId="HeaderChar">
    <w:name w:val="Header Char"/>
    <w:basedOn w:val="DefaultParagraphFont"/>
    <w:link w:val="Header"/>
    <w:uiPriority w:val="99"/>
    <w:semiHidden/>
    <w:rPr>
      <w:rFonts w:ascii="Arial" w:hAnsi="Arial"/>
      <w:sz w:val="20"/>
      <w:szCs w:val="20"/>
      <w:lang w:eastAsia="en-US"/>
    </w:rPr>
  </w:style>
  <w:style w:type="paragraph" w:customStyle="1" w:styleId="Heading1NoNumber">
    <w:name w:val="Heading1NoNumber"/>
    <w:basedOn w:val="Heading1"/>
    <w:next w:val="Heading2NoNumber"/>
    <w:uiPriority w:val="99"/>
    <w:pPr>
      <w:numPr>
        <w:numId w:val="0"/>
      </w:numPr>
    </w:pPr>
  </w:style>
  <w:style w:type="paragraph" w:customStyle="1" w:styleId="Heading2NoNumber">
    <w:name w:val="Heading2NoNumber"/>
    <w:basedOn w:val="Heading2"/>
    <w:next w:val="Heading3NoNumber"/>
    <w:uiPriority w:val="99"/>
    <w:pPr>
      <w:numPr>
        <w:ilvl w:val="0"/>
        <w:numId w:val="0"/>
      </w:numPr>
    </w:pPr>
  </w:style>
  <w:style w:type="paragraph" w:customStyle="1" w:styleId="Heading3NoNumber">
    <w:name w:val="Heading3NoNumber"/>
    <w:basedOn w:val="Heading2"/>
    <w:next w:val="Text"/>
    <w:uiPriority w:val="99"/>
    <w:pPr>
      <w:numPr>
        <w:ilvl w:val="0"/>
        <w:numId w:val="0"/>
      </w:numPr>
      <w:spacing w:before="300" w:after="180" w:line="280" w:lineRule="atLeast"/>
      <w:ind w:left="709" w:right="1134" w:hanging="709"/>
    </w:pPr>
    <w:rPr>
      <w:rFonts w:ascii="Arial" w:hAnsi="Arial"/>
      <w:b/>
      <w:sz w:val="21"/>
    </w:rPr>
  </w:style>
  <w:style w:type="character" w:styleId="Hyperlink">
    <w:name w:val="Hyperlink"/>
    <w:basedOn w:val="DefaultParagraphFont"/>
    <w:uiPriority w:val="99"/>
    <w:rPr>
      <w:rFonts w:ascii="Verdana" w:hAnsi="Verdana" w:cs="Times New Roman"/>
      <w:b/>
      <w:color w:val="000000"/>
      <w:sz w:val="14"/>
      <w:u w:val="single"/>
      <w:shd w:val="clear" w:color="auto" w:fill="auto"/>
    </w:rPr>
  </w:style>
  <w:style w:type="paragraph" w:customStyle="1" w:styleId="InsertHeadings">
    <w:name w:val="InsertHeadings"/>
    <w:basedOn w:val="Text"/>
    <w:next w:val="Text"/>
    <w:uiPriority w:val="99"/>
    <w:pPr>
      <w:pBdr>
        <w:bottom w:val="single" w:sz="2" w:space="1" w:color="auto"/>
      </w:pBdr>
      <w:spacing w:before="360" w:after="0" w:line="240" w:lineRule="atLeast"/>
      <w:ind w:right="91"/>
    </w:pPr>
    <w:rPr>
      <w:sz w:val="16"/>
    </w:rPr>
  </w:style>
  <w:style w:type="paragraph" w:customStyle="1" w:styleId="AppendixHeading">
    <w:name w:val="AppendixHeading"/>
    <w:basedOn w:val="Heading1"/>
    <w:next w:val="AppendixHeading2"/>
    <w:uiPriority w:val="99"/>
    <w:pPr>
      <w:numPr>
        <w:numId w:val="5"/>
      </w:numPr>
    </w:pPr>
  </w:style>
  <w:style w:type="paragraph" w:customStyle="1" w:styleId="AppendixHeading2">
    <w:name w:val="AppendixHeading2"/>
    <w:basedOn w:val="Heading2"/>
    <w:next w:val="AppendixHeading3"/>
    <w:uiPriority w:val="99"/>
    <w:pPr>
      <w:numPr>
        <w:numId w:val="5"/>
      </w:numPr>
    </w:pPr>
  </w:style>
  <w:style w:type="paragraph" w:customStyle="1" w:styleId="AppendixHeading3">
    <w:name w:val="AppendixHeading3"/>
    <w:basedOn w:val="Heading3"/>
    <w:next w:val="Text"/>
    <w:uiPriority w:val="99"/>
    <w:pPr>
      <w:numPr>
        <w:numId w:val="5"/>
      </w:numPr>
    </w:pPr>
  </w:style>
  <w:style w:type="paragraph" w:customStyle="1" w:styleId="AppendixHeading4">
    <w:name w:val="AppendixHeading4"/>
    <w:basedOn w:val="Heading4"/>
    <w:next w:val="Text"/>
    <w:uiPriority w:val="99"/>
  </w:style>
  <w:style w:type="paragraph" w:customStyle="1" w:styleId="AppendixHeading6">
    <w:name w:val="AppendixHeading6"/>
    <w:basedOn w:val="Heading6"/>
    <w:next w:val="Text"/>
    <w:uiPriority w:val="99"/>
    <w:pPr>
      <w:numPr>
        <w:numId w:val="5"/>
      </w:numPr>
    </w:pPr>
  </w:style>
  <w:style w:type="paragraph" w:customStyle="1" w:styleId="AppendixHeading7">
    <w:name w:val="AppendixHeading7"/>
    <w:basedOn w:val="Heading7"/>
    <w:next w:val="Text"/>
    <w:uiPriority w:val="99"/>
    <w:pPr>
      <w:numPr>
        <w:numId w:val="5"/>
      </w:numPr>
    </w:pPr>
  </w:style>
  <w:style w:type="paragraph" w:customStyle="1" w:styleId="AppendixHeading8">
    <w:name w:val="AppendixHeading8"/>
    <w:basedOn w:val="Heading8"/>
    <w:next w:val="Text"/>
    <w:uiPriority w:val="99"/>
    <w:pPr>
      <w:numPr>
        <w:numId w:val="5"/>
      </w:numPr>
    </w:pPr>
  </w:style>
  <w:style w:type="table" w:styleId="TableGrid">
    <w:name w:val="Table Grid"/>
    <w:basedOn w:val="TableNormal"/>
    <w:uiPriority w:val="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CommentSubjectChar">
    <w:name w:val="Comment Subject Char"/>
    <w:basedOn w:val="CommentTextChar"/>
    <w:uiPriority w:val="99"/>
    <w:rPr>
      <w:rFonts w:ascii="Arial" w:hAnsi="Arial" w:cs="Times New Roman"/>
      <w:sz w:val="24"/>
      <w:lang w:val="x-none" w:eastAsia="en-US"/>
    </w:rPr>
  </w:style>
  <w:style w:type="paragraph" w:customStyle="1" w:styleId="NumberedList">
    <w:name w:val="Numbered List"/>
    <w:basedOn w:val="Normal"/>
    <w:uiPriority w:val="99"/>
    <w:pPr>
      <w:numPr>
        <w:numId w:val="9"/>
      </w:numPr>
      <w:tabs>
        <w:tab w:val="clear" w:pos="340"/>
        <w:tab w:val="num" w:pos="397"/>
      </w:tabs>
      <w:spacing w:after="120" w:line="280" w:lineRule="atLeast"/>
      <w:ind w:left="397" w:hanging="397"/>
    </w:pPr>
    <w:rPr>
      <w:lang w:val="en-US" w:eastAsia="en-AU"/>
    </w:rPr>
  </w:style>
  <w:style w:type="paragraph" w:customStyle="1" w:styleId="AlphaList">
    <w:name w:val="Alpha List"/>
    <w:basedOn w:val="Normal"/>
    <w:uiPriority w:val="99"/>
    <w:pPr>
      <w:numPr>
        <w:numId w:val="9"/>
      </w:numPr>
      <w:spacing w:after="120" w:line="280" w:lineRule="atLeast"/>
    </w:pPr>
    <w:rPr>
      <w:bCs/>
      <w:lang w:eastAsia="en-AU"/>
    </w:rPr>
  </w:style>
  <w:style w:type="paragraph" w:styleId="CommentSubject">
    <w:name w:val="annotation subject"/>
    <w:basedOn w:val="CommentText"/>
    <w:next w:val="CommentText"/>
    <w:link w:val="CommentSubjectChar1"/>
    <w:uiPriority w:val="99"/>
    <w:semiHidden/>
    <w:rPr>
      <w:sz w:val="20"/>
    </w:rPr>
  </w:style>
  <w:style w:type="character" w:customStyle="1" w:styleId="CommentSubjectChar1">
    <w:name w:val="Comment Subject Char1"/>
    <w:basedOn w:val="CommentTextChar"/>
    <w:link w:val="CommentSubject"/>
    <w:uiPriority w:val="99"/>
    <w:semiHidden/>
    <w:rPr>
      <w:rFonts w:ascii="Arial" w:hAnsi="Arial" w:cs="Times New Roman"/>
      <w:b/>
      <w:bCs/>
      <w:sz w:val="20"/>
      <w:szCs w:val="20"/>
      <w:lang w:val="x-none" w:eastAsia="en-US"/>
    </w:rPr>
  </w:style>
  <w:style w:type="character" w:customStyle="1" w:styleId="A6">
    <w:name w:val="A6"/>
    <w:uiPriority w:val="99"/>
    <w:rPr>
      <w:rFonts w:ascii="Avenir LT" w:hAnsi="Avenir LT"/>
      <w:color w:val="221E1F"/>
      <w:sz w:val="12"/>
    </w:rPr>
  </w:style>
  <w:style w:type="paragraph" w:customStyle="1" w:styleId="Pa4">
    <w:name w:val="Pa4"/>
    <w:basedOn w:val="Normal"/>
    <w:next w:val="Normal"/>
    <w:uiPriority w:val="99"/>
    <w:pPr>
      <w:widowControl w:val="0"/>
      <w:autoSpaceDE w:val="0"/>
      <w:autoSpaceDN w:val="0"/>
      <w:adjustRightInd w:val="0"/>
      <w:spacing w:line="201" w:lineRule="atLeast"/>
    </w:pPr>
    <w:rPr>
      <w:rFonts w:ascii="Futura" w:hAnsi="Futura"/>
      <w:sz w:val="24"/>
      <w:szCs w:val="24"/>
      <w:lang w:val="en-US"/>
    </w:rPr>
  </w:style>
  <w:style w:type="character" w:styleId="FollowedHyperlink">
    <w:name w:val="FollowedHyperlink"/>
    <w:basedOn w:val="DefaultParagraphFont"/>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image" Target="media/image5.jpeg"/><Relationship Id="rId26" Type="http://schemas.openxmlformats.org/officeDocument/2006/relationships/hyperlink" Target="http://www.csu.org/business/greenback/rebates/irrigation/item1320.html" TargetMode="Externa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aquaspy.com/pudCMS/pudAsset.cfm?id=545" TargetMode="External"/><Relationship Id="rId34" Type="http://schemas.openxmlformats.org/officeDocument/2006/relationships/hyperlink" Target="http://www.ourwater.vic.gov.au/saving/home/rebates/products"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hyperlink" Target="http://www.bca.com.au/DisplayFile.aspx?FileID=168" TargetMode="External"/><Relationship Id="rId33" Type="http://schemas.openxmlformats.org/officeDocument/2006/relationships/hyperlink" Target="http://www.sawater.com.au/SAWater/YourHome/SaveWaterInYourHome/rebates_garden.htm" TargetMode="External"/><Relationship Id="rId38" Type="http://schemas.openxmlformats.org/officeDocument/2006/relationships/hyperlink" Target="http://www.wsud.org/downloads/Info%20Exchange%20&amp;%20Lit/WSUD_04_Conf_Papers/WS040023.PDF"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thinkwater.act.gov.au/tune-ups_rebates/outdoor_water_tune-up.shtml" TargetMode="External"/><Relationship Id="rId29" Type="http://schemas.openxmlformats.org/officeDocument/2006/relationships/hyperlink" Target="http://www.irrigation.org/swat/images/irvine.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mp3.news.com.au/bcm/water/green-choice.pdf" TargetMode="External"/><Relationship Id="rId32" Type="http://schemas.openxmlformats.org/officeDocument/2006/relationships/hyperlink" Target="http://www.nwc.gov.au/www/html/507-water-efficiency-labelling-and-standards-wels-schemephase-2.asp" TargetMode="External"/><Relationship Id="rId37" Type="http://schemas.openxmlformats.org/officeDocument/2006/relationships/hyperlink" Target="http://www.wetearth.com.au/" TargetMode="External"/><Relationship Id="rId40"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acfonline.org.au/articles/news.asp?news_id=153" TargetMode="External"/><Relationship Id="rId28" Type="http://schemas.openxmlformats.org/officeDocument/2006/relationships/hyperlink" Target="http://www.diyirrigation.com.au" TargetMode="External"/><Relationship Id="rId36" Type="http://schemas.openxmlformats.org/officeDocument/2006/relationships/hyperlink" Target="http://www.water.wa.gov.au/Doing+business+with+us/Waterwise+consumer+rebates/default.aspx" TargetMode="External"/><Relationship Id="rId10" Type="http://schemas.openxmlformats.org/officeDocument/2006/relationships/image" Target="media/image1.png"/><Relationship Id="rId19" Type="http://schemas.openxmlformats.org/officeDocument/2006/relationships/image" Target="media/image6.jpeg"/><Relationship Id="rId31" Type="http://schemas.openxmlformats.org/officeDocument/2006/relationships/hyperlink" Target="http://www.nwc.gov.au/www/html/117-national-water-initiative.asp?intSiteID=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www.abareconomics.com/interactive/08_ResearchReports/Urbanwater/htm/chapter_2.htm" TargetMode="External"/><Relationship Id="rId27" Type="http://schemas.openxmlformats.org/officeDocument/2006/relationships/hyperlink" Target="http://environment.gov.au/water/publications/action/pubs/water-future.pdf" TargetMode="External"/><Relationship Id="rId30" Type="http://schemas.openxmlformats.org/officeDocument/2006/relationships/hyperlink" Target="http://www.irrigation.org.au/assets/pages/6E9E6203-1708-51EB-A65470E3F41123EB/UrbanBrochure.pdf" TargetMode="External"/><Relationship Id="rId35" Type="http://schemas.openxmlformats.org/officeDocument/2006/relationships/hyperlink" Target="http://www.wsaa.asn.au/Media/Facts/StorageLevels/Total%20Water%20Storages%20and%20Restrictions%20as%20at%20end%20March%20200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ACG_Templates:TemplatesForms:Report%20Template: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A4BC83A5EB0949BA8AA642FDD832DC" ma:contentTypeVersion="1" ma:contentTypeDescription="Create a new document." ma:contentTypeScope="" ma:versionID="c7ee566b5a72928f601c58dd101c254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E75297-AA72-4419-A92C-2326016CA2E0}"/>
</file>

<file path=customXml/itemProps2.xml><?xml version="1.0" encoding="utf-8"?>
<ds:datastoreItem xmlns:ds="http://schemas.openxmlformats.org/officeDocument/2006/customXml" ds:itemID="{FBFD6203-D414-46F3-9CB1-162E6B902750}"/>
</file>

<file path=customXml/itemProps3.xml><?xml version="1.0" encoding="utf-8"?>
<ds:datastoreItem xmlns:ds="http://schemas.openxmlformats.org/officeDocument/2006/customXml" ds:itemID="{BCD6553D-B10A-4C59-8766-05FF0C26A411}"/>
</file>

<file path=docProps/app.xml><?xml version="1.0" encoding="utf-8"?>
<Properties xmlns="http://schemas.openxmlformats.org/officeDocument/2006/extended-properties" xmlns:vt="http://schemas.openxmlformats.org/officeDocument/2006/docPropsVTypes">
  <Template>Report_Template.dot</Template>
  <TotalTime>0</TotalTime>
  <Pages>28</Pages>
  <Words>12899</Words>
  <Characters>73529</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Final report on the consideration of domestic irrigation controllers for inclusion in the WELS Scheme</vt:lpstr>
    </vt:vector>
  </TitlesOfParts>
  <Company/>
  <LinksUpToDate>false</LinksUpToDate>
  <CharactersWithSpaces>86256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on the consideration of domestic irrigation controllers for inclusion in the WELS Scheme</dc:title>
  <dc:subject/>
  <dc:creator>Allen Consulting Group for the Department of the Environment, Water, Heritage and the Arts</dc:creator>
  <cp:keywords/>
  <dc:description/>
  <cp:lastModifiedBy>Kenneally, Liz</cp:lastModifiedBy>
  <cp:revision>2</cp:revision>
  <cp:lastPrinted>2010-05-10T02:38:00Z</cp:lastPrinted>
  <dcterms:created xsi:type="dcterms:W3CDTF">2017-10-19T03:28:00Z</dcterms:created>
  <dcterms:modified xsi:type="dcterms:W3CDTF">2017-10-19T03:28:00Z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0x0101006EA4BC83A5EB0949BA8AA642FDD832DC</vt:lpwstr>
  </property>
</Properties>
</file>