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3092B" w14:textId="3D3A1A46" w:rsidR="00764D6A" w:rsidRDefault="00BD538D" w:rsidP="00132DD5">
      <w:pPr>
        <w:pStyle w:val="Heading1"/>
      </w:pPr>
      <w:bookmarkStart w:id="0" w:name="_Hlk112230633"/>
      <w:bookmarkStart w:id="1" w:name="_Hlk98417693"/>
      <w:bookmarkEnd w:id="0"/>
      <w:r w:rsidRPr="00E24BF2">
        <w:rPr>
          <w:color w:val="004661"/>
          <w:sz w:val="42"/>
          <w:szCs w:val="4"/>
        </w:rPr>
        <w:t xml:space="preserve">Water Efficiency Labelling and Standards </w:t>
      </w:r>
      <w:r w:rsidR="00A02053">
        <w:rPr>
          <w:color w:val="004661"/>
          <w:sz w:val="42"/>
          <w:szCs w:val="4"/>
        </w:rPr>
        <w:t>s</w:t>
      </w:r>
      <w:r w:rsidRPr="00E24BF2">
        <w:rPr>
          <w:color w:val="004661"/>
          <w:sz w:val="42"/>
          <w:szCs w:val="4"/>
        </w:rPr>
        <w:t xml:space="preserve">cheme </w:t>
      </w:r>
      <w:r w:rsidR="00307E68" w:rsidRPr="00E24BF2">
        <w:rPr>
          <w:color w:val="004661"/>
        </w:rPr>
        <w:t>Compliance Policy</w:t>
      </w:r>
    </w:p>
    <w:p w14:paraId="5A9875B3" w14:textId="77777777" w:rsidR="009A5426" w:rsidRDefault="009A5426" w:rsidP="009A5426"/>
    <w:p w14:paraId="632D0DC4" w14:textId="3CC13198" w:rsidR="00381FF0" w:rsidRPr="009A5426" w:rsidRDefault="00381FF0" w:rsidP="00132DD5">
      <w:pPr>
        <w:pStyle w:val="Heading1"/>
        <w:rPr>
          <w:sz w:val="36"/>
          <w:szCs w:val="36"/>
        </w:rPr>
      </w:pPr>
      <w:r w:rsidRPr="009A5426">
        <w:rPr>
          <w:sz w:val="36"/>
          <w:szCs w:val="36"/>
        </w:rPr>
        <w:t>202</w:t>
      </w:r>
      <w:r w:rsidR="00980A4A" w:rsidRPr="009A5426">
        <w:rPr>
          <w:sz w:val="36"/>
          <w:szCs w:val="36"/>
        </w:rPr>
        <w:t>5</w:t>
      </w:r>
    </w:p>
    <w:bookmarkEnd w:id="1"/>
    <w:p w14:paraId="4CA36899" w14:textId="77777777" w:rsidR="00291ABB" w:rsidRDefault="00291ABB">
      <w:pPr>
        <w:pStyle w:val="Normalsmall"/>
        <w:sectPr w:rsidR="00291ABB" w:rsidSect="0061002E">
          <w:headerReference w:type="default" r:id="rId11"/>
          <w:pgSz w:w="11906" w:h="16838"/>
          <w:pgMar w:top="3828" w:right="1418" w:bottom="1418" w:left="1418" w:header="567" w:footer="283" w:gutter="0"/>
          <w:pgNumType w:start="1"/>
          <w:cols w:space="708"/>
          <w:docGrid w:linePitch="360"/>
        </w:sectPr>
      </w:pPr>
    </w:p>
    <w:p w14:paraId="33F09557" w14:textId="34938027" w:rsidR="00764D6A" w:rsidRDefault="00BD538D">
      <w:pPr>
        <w:pStyle w:val="Normalsmall"/>
      </w:pPr>
      <w:bookmarkStart w:id="2" w:name="_Hlk98418150"/>
      <w:r w:rsidRPr="00A1730D">
        <w:lastRenderedPageBreak/>
        <w:t xml:space="preserve">© Commonwealth of Australia </w:t>
      </w:r>
      <w:r w:rsidR="00B97E61" w:rsidRPr="00A1730D">
        <w:t>202</w:t>
      </w:r>
      <w:r w:rsidR="009A5426" w:rsidRPr="00A1730D">
        <w:t>5</w:t>
      </w:r>
    </w:p>
    <w:p w14:paraId="2F9E09B1" w14:textId="77777777" w:rsidR="00764D6A" w:rsidRDefault="00BD538D">
      <w:pPr>
        <w:pStyle w:val="Normalsmall"/>
        <w:rPr>
          <w:rStyle w:val="Strong"/>
        </w:rPr>
      </w:pPr>
      <w:r>
        <w:rPr>
          <w:rStyle w:val="Strong"/>
        </w:rPr>
        <w:t>Ownership of intellectual property rights</w:t>
      </w:r>
    </w:p>
    <w:p w14:paraId="5CE69208" w14:textId="77777777" w:rsidR="00764D6A" w:rsidRDefault="00BD538D">
      <w:pPr>
        <w:pStyle w:val="Normalsmall"/>
      </w:pPr>
      <w:r>
        <w:t>Unless otherwise noted, copyright (and any other intellectual property rights) in this publication is owned by the Commonwealth of Australia (referred to as the Commonwealth).</w:t>
      </w:r>
    </w:p>
    <w:p w14:paraId="147D28BB" w14:textId="77777777" w:rsidR="00764D6A" w:rsidRDefault="00BD538D">
      <w:pPr>
        <w:pStyle w:val="Normalsmall"/>
        <w:rPr>
          <w:rStyle w:val="Strong"/>
        </w:rPr>
      </w:pPr>
      <w:r>
        <w:rPr>
          <w:rStyle w:val="Strong"/>
        </w:rPr>
        <w:t>Creative Commons licence</w:t>
      </w:r>
    </w:p>
    <w:p w14:paraId="20905006" w14:textId="52938B11" w:rsidR="00764D6A" w:rsidRDefault="00BD538D">
      <w:pPr>
        <w:pStyle w:val="Normalsmall"/>
      </w:pPr>
      <w:r>
        <w:t xml:space="preserve">All material in this publication is licensed under a </w:t>
      </w:r>
      <w:r w:rsidRPr="00733335">
        <w:t>Creative Commons Attribution 4.0 International Licence</w:t>
      </w:r>
      <w:r>
        <w:t xml:space="preserve"> except content supplied by third parties, </w:t>
      </w:r>
      <w:r w:rsidR="00BC0624">
        <w:t>logos,</w:t>
      </w:r>
      <w:r>
        <w:t xml:space="preserve"> and the Commonwealth Coat of Arms.</w:t>
      </w:r>
    </w:p>
    <w:p w14:paraId="5B5AB199" w14:textId="3C5A57CA" w:rsidR="00764D6A" w:rsidRDefault="00BD538D">
      <w:pPr>
        <w:pStyle w:val="Normalsmall"/>
      </w:pPr>
      <w:r>
        <w:t xml:space="preserve">Inquiries about the licence and any use of this document should be emailed to </w:t>
      </w:r>
      <w:hyperlink r:id="rId12" w:history="1">
        <w:r w:rsidR="00743B85" w:rsidRPr="00877E7D">
          <w:rPr>
            <w:rStyle w:val="Hyperlink"/>
          </w:rPr>
          <w:t>copyright@</w:t>
        </w:r>
        <w:r w:rsidR="00743B85" w:rsidRPr="00046B0A">
          <w:rPr>
            <w:rStyle w:val="Hyperlink"/>
          </w:rPr>
          <w:t>dcceew</w:t>
        </w:r>
        <w:r w:rsidR="00743B85" w:rsidRPr="00877E7D">
          <w:rPr>
            <w:rStyle w:val="Hyperlink"/>
          </w:rPr>
          <w:t>.gov.au</w:t>
        </w:r>
      </w:hyperlink>
    </w:p>
    <w:p w14:paraId="415C15FF" w14:textId="77777777" w:rsidR="00764D6A" w:rsidRDefault="00BD538D">
      <w:pPr>
        <w:pStyle w:val="Normalsmall"/>
      </w:pPr>
      <w:r>
        <w:rPr>
          <w:noProof/>
          <w:lang w:eastAsia="en-AU"/>
        </w:rPr>
        <w:drawing>
          <wp:inline distT="0" distB="0" distL="0" distR="0" wp14:anchorId="60372F0A" wp14:editId="401482E0">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833964" name="Picture 1">
                      <a:extLst>
                        <a:ext uri="{C183D7F6-B498-43B3-948B-1728B52AA6E4}">
                          <adec:decorative xmlns:adec="http://schemas.microsoft.com/office/drawing/2017/decorative" val="1"/>
                        </a:ext>
                      </a:extLst>
                    </pic:cNvPr>
                    <pic:cNvPicPr>
                      <a:picLocks noChangeAspect="1" noChangeArrowheads="1"/>
                    </pic:cNvPicPr>
                  </pic:nvPicPr>
                  <pic:blipFill>
                    <a:blip r:embed="rId13" cstate="prin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04C4A232" w14:textId="77777777" w:rsidR="00764D6A" w:rsidRDefault="00BD538D">
      <w:pPr>
        <w:pStyle w:val="Normalsmall"/>
        <w:rPr>
          <w:rStyle w:val="Strong"/>
        </w:rPr>
      </w:pPr>
      <w:r>
        <w:rPr>
          <w:rStyle w:val="Strong"/>
        </w:rPr>
        <w:t>Cataloguing data</w:t>
      </w:r>
    </w:p>
    <w:p w14:paraId="068F0161" w14:textId="1E9A0A5E" w:rsidR="00764D6A" w:rsidRDefault="00BD538D" w:rsidP="00307E68">
      <w:pPr>
        <w:pStyle w:val="Normalsmall"/>
      </w:pPr>
      <w:r>
        <w:t xml:space="preserve">This publication (and any material sourced from it) should be attributed as: </w:t>
      </w:r>
      <w:r w:rsidR="00307E68" w:rsidRPr="00733335">
        <w:t>Water Efficiency Labelling and Standards Regulator 202</w:t>
      </w:r>
      <w:r w:rsidR="00A1730D">
        <w:t>5</w:t>
      </w:r>
      <w:r w:rsidRPr="00733335">
        <w:t xml:space="preserve">, </w:t>
      </w:r>
      <w:r w:rsidR="00307E68" w:rsidRPr="00307E68">
        <w:rPr>
          <w:i/>
        </w:rPr>
        <w:t xml:space="preserve">Water Efficiency Labelling and Standards </w:t>
      </w:r>
      <w:r w:rsidR="00C527FF">
        <w:rPr>
          <w:i/>
        </w:rPr>
        <w:t>S</w:t>
      </w:r>
      <w:r w:rsidR="00307E68" w:rsidRPr="00307E68">
        <w:rPr>
          <w:i/>
        </w:rPr>
        <w:t>cheme</w:t>
      </w:r>
      <w:r w:rsidR="00C527FF">
        <w:rPr>
          <w:i/>
        </w:rPr>
        <w:t xml:space="preserve"> </w:t>
      </w:r>
      <w:r w:rsidR="00C527FF" w:rsidRPr="00307E68">
        <w:rPr>
          <w:i/>
        </w:rPr>
        <w:t>Compliance Policy</w:t>
      </w:r>
      <w:r>
        <w:t xml:space="preserve">, </w:t>
      </w:r>
      <w:r w:rsidR="00B5740E">
        <w:t xml:space="preserve">Department of </w:t>
      </w:r>
      <w:r w:rsidR="00D05D12">
        <w:t>Climate Change, Energy, the Environment and Water</w:t>
      </w:r>
    </w:p>
    <w:p w14:paraId="776A199E" w14:textId="1BBF1631" w:rsidR="00764D6A" w:rsidRDefault="00BD538D">
      <w:pPr>
        <w:pStyle w:val="Normalsmall"/>
      </w:pPr>
      <w:r>
        <w:t xml:space="preserve">This publication is </w:t>
      </w:r>
      <w:r w:rsidRPr="00E20810">
        <w:t>available at</w:t>
      </w:r>
      <w:r w:rsidR="006F4692">
        <w:t xml:space="preserve"> </w:t>
      </w:r>
      <w:r w:rsidR="001E2301" w:rsidRPr="00733335">
        <w:t>waterrating.gov.au</w:t>
      </w:r>
    </w:p>
    <w:p w14:paraId="6091E5A8" w14:textId="77777777" w:rsidR="00E67315" w:rsidRDefault="00BD538D">
      <w:pPr>
        <w:pStyle w:val="Normalsmall"/>
        <w:spacing w:after="0"/>
      </w:pPr>
      <w:r>
        <w:t xml:space="preserve">Department of </w:t>
      </w:r>
      <w:r w:rsidR="00D05D12">
        <w:t>Climate Change, Energy, the Environment and Water</w:t>
      </w:r>
      <w:r w:rsidR="00D05D12" w:rsidDel="00D05D12">
        <w:t xml:space="preserve"> </w:t>
      </w:r>
    </w:p>
    <w:p w14:paraId="23388A1D" w14:textId="1FF7E74F" w:rsidR="00764D6A" w:rsidRDefault="00BD538D">
      <w:pPr>
        <w:pStyle w:val="Normalsmall"/>
        <w:spacing w:after="0"/>
      </w:pPr>
      <w:r>
        <w:t xml:space="preserve">GPO Box </w:t>
      </w:r>
      <w:r w:rsidR="00E67315">
        <w:t>3090 Canberra</w:t>
      </w:r>
      <w:r>
        <w:t xml:space="preserve"> ACT 2601</w:t>
      </w:r>
    </w:p>
    <w:p w14:paraId="4B173D85" w14:textId="3E670ADC" w:rsidR="00764D6A" w:rsidRDefault="00BD538D">
      <w:pPr>
        <w:pStyle w:val="Normalsmall"/>
        <w:spacing w:after="0"/>
      </w:pPr>
      <w:r>
        <w:t xml:space="preserve">Telephone </w:t>
      </w:r>
      <w:r w:rsidRPr="00773056">
        <w:t xml:space="preserve">1800 </w:t>
      </w:r>
      <w:r w:rsidR="00D05D12">
        <w:t>372 746</w:t>
      </w:r>
    </w:p>
    <w:p w14:paraId="559FFFFE" w14:textId="12187005" w:rsidR="00764D6A" w:rsidRDefault="00BD538D">
      <w:pPr>
        <w:pStyle w:val="Normalsmall"/>
      </w:pPr>
      <w:r w:rsidRPr="00E20810">
        <w:t>Web</w:t>
      </w:r>
      <w:r w:rsidR="00DD1BE8">
        <w:t>site</w:t>
      </w:r>
      <w:r w:rsidRPr="00E20810">
        <w:t xml:space="preserve"> </w:t>
      </w:r>
      <w:r w:rsidR="00D05D12" w:rsidRPr="00D05D12">
        <w:t>www.dcceew.gov.au</w:t>
      </w:r>
    </w:p>
    <w:p w14:paraId="762C8398" w14:textId="77777777" w:rsidR="007C358A" w:rsidRDefault="00BD538D">
      <w:pPr>
        <w:pStyle w:val="Normalsmall"/>
      </w:pPr>
      <w:r>
        <w:rPr>
          <w:rStyle w:val="Strong"/>
        </w:rPr>
        <w:t>Disclaimer</w:t>
      </w:r>
    </w:p>
    <w:p w14:paraId="24C153A2" w14:textId="6165B2BE" w:rsidR="00764D6A" w:rsidRDefault="00BD538D">
      <w:pPr>
        <w:pStyle w:val="Normalsmall"/>
      </w:pPr>
      <w:r>
        <w:t xml:space="preserve">The Australian Government acting through the </w:t>
      </w:r>
      <w:r w:rsidR="00D05D12">
        <w:t>Department of Climate Change, Energy, the Environment and Water</w:t>
      </w:r>
      <w:r w:rsidR="00D05D12" w:rsidDel="00D05D12">
        <w:t xml:space="preserve"> </w:t>
      </w:r>
      <w:r>
        <w:t xml:space="preserve">has exercised due care and skill in preparing and compiling the information and data in this publication. Notwithstanding, the </w:t>
      </w:r>
      <w:r w:rsidR="00D05D12">
        <w:t>Department of Climate Change, Energy, the Environment and Water</w:t>
      </w:r>
      <w:r>
        <w:t xml:space="preserve">, its employees and advisers disclaim all liability, including liability for negligence and for any loss, damage, injury, </w:t>
      </w:r>
      <w:r w:rsidR="00E67315">
        <w:t>expense,</w:t>
      </w:r>
      <w:r>
        <w:t xml:space="preserve"> or cost incurred by any person as a result of accessing, using or relying on any of the information or data in this publication to the maximum extent permitted by law.</w:t>
      </w:r>
    </w:p>
    <w:p w14:paraId="27B2399B" w14:textId="77777777" w:rsidR="00B02B9B" w:rsidRDefault="00BD538D" w:rsidP="00B02B9B">
      <w:pPr>
        <w:pStyle w:val="Normalsmall"/>
      </w:pPr>
      <w:r>
        <w:rPr>
          <w:rStyle w:val="Strong"/>
        </w:rPr>
        <w:t>Acknowledgement of Country</w:t>
      </w:r>
    </w:p>
    <w:p w14:paraId="7B58BB48" w14:textId="184BA067" w:rsidR="00B02B9B" w:rsidRDefault="002F6A3D">
      <w:pPr>
        <w:pStyle w:val="Normalsmall"/>
      </w:pPr>
      <w:r w:rsidRPr="002F6A3D">
        <w:t>Our department recognises the First Peoples of this nation and their ongoing connection to culture and country. We acknowledge First Nations Peoples as the Traditional Owners, Custodians and Lore Keepers of the world's oldest living culture and pay respects to their Elders past, present and emerging</w:t>
      </w:r>
      <w:r w:rsidR="00BD538D" w:rsidRPr="00D07F7D">
        <w:t>.</w:t>
      </w:r>
    </w:p>
    <w:bookmarkEnd w:id="2"/>
    <w:p w14:paraId="1615C068" w14:textId="77777777" w:rsidR="00764D6A" w:rsidRDefault="00BD538D">
      <w:pPr>
        <w:spacing w:after="0" w:line="240" w:lineRule="auto"/>
      </w:pPr>
      <w:r>
        <w:br w:type="page"/>
      </w:r>
    </w:p>
    <w:sdt>
      <w:sdtPr>
        <w:rPr>
          <w:rFonts w:ascii="Cambria" w:hAnsi="Cambria"/>
          <w:bCs w:val="0"/>
          <w:color w:val="auto"/>
          <w:sz w:val="22"/>
          <w:szCs w:val="22"/>
          <w:lang w:eastAsia="en-US"/>
        </w:rPr>
        <w:id w:val="-760297017"/>
        <w:docPartObj>
          <w:docPartGallery w:val="Table of Contents"/>
          <w:docPartUnique/>
        </w:docPartObj>
      </w:sdtPr>
      <w:sdtEndPr>
        <w:rPr>
          <w:b/>
          <w:bCs/>
          <w:noProof/>
        </w:rPr>
      </w:sdtEndPr>
      <w:sdtContent>
        <w:p w14:paraId="5B830403" w14:textId="77777777" w:rsidR="00764D6A" w:rsidRDefault="00BD538D">
          <w:pPr>
            <w:pStyle w:val="TOCHeading"/>
          </w:pPr>
          <w:r>
            <w:t>Contents</w:t>
          </w:r>
        </w:p>
        <w:p w14:paraId="458D2245" w14:textId="12ABEB0B" w:rsidR="00A14CA3" w:rsidRDefault="00BD538D">
          <w:pPr>
            <w:pStyle w:val="TOC1"/>
            <w:rPr>
              <w:rFonts w:asciiTheme="minorHAnsi" w:eastAsiaTheme="minorEastAsia" w:hAnsiTheme="minorHAnsi"/>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213679827" w:history="1">
            <w:r w:rsidR="00A14CA3" w:rsidRPr="00455DC9">
              <w:rPr>
                <w:rStyle w:val="Hyperlink"/>
              </w:rPr>
              <w:t>1</w:t>
            </w:r>
            <w:r w:rsidR="00A14CA3">
              <w:rPr>
                <w:rFonts w:asciiTheme="minorHAnsi" w:eastAsiaTheme="minorEastAsia" w:hAnsiTheme="minorHAnsi"/>
                <w:b w:val="0"/>
                <w:kern w:val="2"/>
                <w:sz w:val="24"/>
                <w:szCs w:val="24"/>
                <w:lang w:eastAsia="en-AU"/>
                <w14:ligatures w14:val="standardContextual"/>
              </w:rPr>
              <w:tab/>
            </w:r>
            <w:r w:rsidR="00A14CA3" w:rsidRPr="00455DC9">
              <w:rPr>
                <w:rStyle w:val="Hyperlink"/>
              </w:rPr>
              <w:t>Introduction</w:t>
            </w:r>
            <w:r w:rsidR="00A14CA3">
              <w:rPr>
                <w:webHidden/>
              </w:rPr>
              <w:tab/>
            </w:r>
            <w:r w:rsidR="00A14CA3">
              <w:rPr>
                <w:webHidden/>
              </w:rPr>
              <w:fldChar w:fldCharType="begin"/>
            </w:r>
            <w:r w:rsidR="00A14CA3">
              <w:rPr>
                <w:webHidden/>
              </w:rPr>
              <w:instrText xml:space="preserve"> PAGEREF _Toc213679827 \h </w:instrText>
            </w:r>
            <w:r w:rsidR="00A14CA3">
              <w:rPr>
                <w:webHidden/>
              </w:rPr>
            </w:r>
            <w:r w:rsidR="00A14CA3">
              <w:rPr>
                <w:webHidden/>
              </w:rPr>
              <w:fldChar w:fldCharType="separate"/>
            </w:r>
            <w:r w:rsidR="007B61DC">
              <w:rPr>
                <w:webHidden/>
              </w:rPr>
              <w:t>1</w:t>
            </w:r>
            <w:r w:rsidR="00A14CA3">
              <w:rPr>
                <w:webHidden/>
              </w:rPr>
              <w:fldChar w:fldCharType="end"/>
            </w:r>
          </w:hyperlink>
        </w:p>
        <w:p w14:paraId="52687ED7" w14:textId="6D616EF0" w:rsidR="00A14CA3" w:rsidRDefault="00A14CA3">
          <w:pPr>
            <w:pStyle w:val="TOC2"/>
            <w:tabs>
              <w:tab w:val="left" w:pos="960"/>
            </w:tabs>
            <w:rPr>
              <w:rFonts w:asciiTheme="minorHAnsi" w:eastAsiaTheme="minorEastAsia" w:hAnsiTheme="minorHAnsi"/>
              <w:kern w:val="2"/>
              <w:sz w:val="24"/>
              <w:szCs w:val="24"/>
              <w:lang w:eastAsia="en-AU"/>
              <w14:ligatures w14:val="standardContextual"/>
            </w:rPr>
          </w:pPr>
          <w:hyperlink w:anchor="_Toc213679828" w:history="1">
            <w:r w:rsidRPr="00455DC9">
              <w:rPr>
                <w:rStyle w:val="Hyperlink"/>
              </w:rPr>
              <w:t>1.1</w:t>
            </w:r>
            <w:r>
              <w:rPr>
                <w:rFonts w:asciiTheme="minorHAnsi" w:eastAsiaTheme="minorEastAsia" w:hAnsiTheme="minorHAnsi"/>
                <w:kern w:val="2"/>
                <w:sz w:val="24"/>
                <w:szCs w:val="24"/>
                <w:lang w:eastAsia="en-AU"/>
                <w14:ligatures w14:val="standardContextual"/>
              </w:rPr>
              <w:tab/>
            </w:r>
            <w:r w:rsidRPr="00455DC9">
              <w:rPr>
                <w:rStyle w:val="Hyperlink"/>
              </w:rPr>
              <w:t>About us</w:t>
            </w:r>
            <w:r>
              <w:rPr>
                <w:webHidden/>
              </w:rPr>
              <w:tab/>
            </w:r>
            <w:r>
              <w:rPr>
                <w:webHidden/>
              </w:rPr>
              <w:fldChar w:fldCharType="begin"/>
            </w:r>
            <w:r>
              <w:rPr>
                <w:webHidden/>
              </w:rPr>
              <w:instrText xml:space="preserve"> PAGEREF _Toc213679828 \h </w:instrText>
            </w:r>
            <w:r>
              <w:rPr>
                <w:webHidden/>
              </w:rPr>
            </w:r>
            <w:r>
              <w:rPr>
                <w:webHidden/>
              </w:rPr>
              <w:fldChar w:fldCharType="separate"/>
            </w:r>
            <w:r w:rsidR="007B61DC">
              <w:rPr>
                <w:webHidden/>
              </w:rPr>
              <w:t>1</w:t>
            </w:r>
            <w:r>
              <w:rPr>
                <w:webHidden/>
              </w:rPr>
              <w:fldChar w:fldCharType="end"/>
            </w:r>
          </w:hyperlink>
        </w:p>
        <w:p w14:paraId="0DD6ECC7" w14:textId="1F006CA3" w:rsidR="00A14CA3" w:rsidRDefault="00A14CA3">
          <w:pPr>
            <w:pStyle w:val="TOC2"/>
            <w:tabs>
              <w:tab w:val="left" w:pos="960"/>
            </w:tabs>
            <w:rPr>
              <w:rFonts w:asciiTheme="minorHAnsi" w:eastAsiaTheme="minorEastAsia" w:hAnsiTheme="minorHAnsi"/>
              <w:kern w:val="2"/>
              <w:sz w:val="24"/>
              <w:szCs w:val="24"/>
              <w:lang w:eastAsia="en-AU"/>
              <w14:ligatures w14:val="standardContextual"/>
            </w:rPr>
          </w:pPr>
          <w:hyperlink w:anchor="_Toc213679829" w:history="1">
            <w:r w:rsidRPr="00455DC9">
              <w:rPr>
                <w:rStyle w:val="Hyperlink"/>
              </w:rPr>
              <w:t>1.2</w:t>
            </w:r>
            <w:r>
              <w:rPr>
                <w:rFonts w:asciiTheme="minorHAnsi" w:eastAsiaTheme="minorEastAsia" w:hAnsiTheme="minorHAnsi"/>
                <w:kern w:val="2"/>
                <w:sz w:val="24"/>
                <w:szCs w:val="24"/>
                <w:lang w:eastAsia="en-AU"/>
                <w14:ligatures w14:val="standardContextual"/>
              </w:rPr>
              <w:tab/>
            </w:r>
            <w:r w:rsidRPr="00455DC9">
              <w:rPr>
                <w:rStyle w:val="Hyperlink"/>
              </w:rPr>
              <w:t>About the scheme</w:t>
            </w:r>
            <w:r>
              <w:rPr>
                <w:webHidden/>
              </w:rPr>
              <w:tab/>
            </w:r>
            <w:r>
              <w:rPr>
                <w:webHidden/>
              </w:rPr>
              <w:fldChar w:fldCharType="begin"/>
            </w:r>
            <w:r>
              <w:rPr>
                <w:webHidden/>
              </w:rPr>
              <w:instrText xml:space="preserve"> PAGEREF _Toc213679829 \h </w:instrText>
            </w:r>
            <w:r>
              <w:rPr>
                <w:webHidden/>
              </w:rPr>
            </w:r>
            <w:r>
              <w:rPr>
                <w:webHidden/>
              </w:rPr>
              <w:fldChar w:fldCharType="separate"/>
            </w:r>
            <w:r w:rsidR="007B61DC">
              <w:rPr>
                <w:webHidden/>
              </w:rPr>
              <w:t>1</w:t>
            </w:r>
            <w:r>
              <w:rPr>
                <w:webHidden/>
              </w:rPr>
              <w:fldChar w:fldCharType="end"/>
            </w:r>
          </w:hyperlink>
        </w:p>
        <w:p w14:paraId="09464CA3" w14:textId="36E1D38D" w:rsidR="00A14CA3" w:rsidRDefault="00A14CA3">
          <w:pPr>
            <w:pStyle w:val="TOC2"/>
            <w:tabs>
              <w:tab w:val="left" w:pos="960"/>
            </w:tabs>
            <w:rPr>
              <w:rFonts w:asciiTheme="minorHAnsi" w:eastAsiaTheme="minorEastAsia" w:hAnsiTheme="minorHAnsi"/>
              <w:kern w:val="2"/>
              <w:sz w:val="24"/>
              <w:szCs w:val="24"/>
              <w:lang w:eastAsia="en-AU"/>
              <w14:ligatures w14:val="standardContextual"/>
            </w:rPr>
          </w:pPr>
          <w:hyperlink w:anchor="_Toc213679830" w:history="1">
            <w:r w:rsidRPr="00455DC9">
              <w:rPr>
                <w:rStyle w:val="Hyperlink"/>
              </w:rPr>
              <w:t>1.3</w:t>
            </w:r>
            <w:r>
              <w:rPr>
                <w:rFonts w:asciiTheme="minorHAnsi" w:eastAsiaTheme="minorEastAsia" w:hAnsiTheme="minorHAnsi"/>
                <w:kern w:val="2"/>
                <w:sz w:val="24"/>
                <w:szCs w:val="24"/>
                <w:lang w:eastAsia="en-AU"/>
                <w14:ligatures w14:val="standardContextual"/>
              </w:rPr>
              <w:tab/>
            </w:r>
            <w:r w:rsidRPr="00455DC9">
              <w:rPr>
                <w:rStyle w:val="Hyperlink"/>
              </w:rPr>
              <w:t>Role of this policy</w:t>
            </w:r>
            <w:r>
              <w:rPr>
                <w:webHidden/>
              </w:rPr>
              <w:tab/>
            </w:r>
            <w:r>
              <w:rPr>
                <w:webHidden/>
              </w:rPr>
              <w:fldChar w:fldCharType="begin"/>
            </w:r>
            <w:r>
              <w:rPr>
                <w:webHidden/>
              </w:rPr>
              <w:instrText xml:space="preserve"> PAGEREF _Toc213679830 \h </w:instrText>
            </w:r>
            <w:r>
              <w:rPr>
                <w:webHidden/>
              </w:rPr>
            </w:r>
            <w:r>
              <w:rPr>
                <w:webHidden/>
              </w:rPr>
              <w:fldChar w:fldCharType="separate"/>
            </w:r>
            <w:r w:rsidR="007B61DC">
              <w:rPr>
                <w:webHidden/>
              </w:rPr>
              <w:t>2</w:t>
            </w:r>
            <w:r>
              <w:rPr>
                <w:webHidden/>
              </w:rPr>
              <w:fldChar w:fldCharType="end"/>
            </w:r>
          </w:hyperlink>
        </w:p>
        <w:p w14:paraId="68F6C17C" w14:textId="3AFEFCAE" w:rsidR="00A14CA3" w:rsidRDefault="00A14CA3">
          <w:pPr>
            <w:pStyle w:val="TOC2"/>
            <w:tabs>
              <w:tab w:val="left" w:pos="960"/>
            </w:tabs>
            <w:rPr>
              <w:rFonts w:asciiTheme="minorHAnsi" w:eastAsiaTheme="minorEastAsia" w:hAnsiTheme="minorHAnsi"/>
              <w:kern w:val="2"/>
              <w:sz w:val="24"/>
              <w:szCs w:val="24"/>
              <w:lang w:eastAsia="en-AU"/>
              <w14:ligatures w14:val="standardContextual"/>
            </w:rPr>
          </w:pPr>
          <w:hyperlink w:anchor="_Toc213679831" w:history="1">
            <w:r w:rsidRPr="00455DC9">
              <w:rPr>
                <w:rStyle w:val="Hyperlink"/>
                <w:lang w:eastAsia="ja-JP"/>
              </w:rPr>
              <w:t>1.4</w:t>
            </w:r>
            <w:r>
              <w:rPr>
                <w:rFonts w:asciiTheme="minorHAnsi" w:eastAsiaTheme="minorEastAsia" w:hAnsiTheme="minorHAnsi"/>
                <w:kern w:val="2"/>
                <w:sz w:val="24"/>
                <w:szCs w:val="24"/>
                <w:lang w:eastAsia="en-AU"/>
                <w14:ligatures w14:val="standardContextual"/>
              </w:rPr>
              <w:tab/>
            </w:r>
            <w:r w:rsidRPr="00455DC9">
              <w:rPr>
                <w:rStyle w:val="Hyperlink"/>
              </w:rPr>
              <w:t>Our compliance policy</w:t>
            </w:r>
            <w:r>
              <w:rPr>
                <w:webHidden/>
              </w:rPr>
              <w:tab/>
            </w:r>
            <w:r>
              <w:rPr>
                <w:webHidden/>
              </w:rPr>
              <w:fldChar w:fldCharType="begin"/>
            </w:r>
            <w:r>
              <w:rPr>
                <w:webHidden/>
              </w:rPr>
              <w:instrText xml:space="preserve"> PAGEREF _Toc213679831 \h </w:instrText>
            </w:r>
            <w:r>
              <w:rPr>
                <w:webHidden/>
              </w:rPr>
            </w:r>
            <w:r>
              <w:rPr>
                <w:webHidden/>
              </w:rPr>
              <w:fldChar w:fldCharType="separate"/>
            </w:r>
            <w:r w:rsidR="007B61DC">
              <w:rPr>
                <w:webHidden/>
              </w:rPr>
              <w:t>2</w:t>
            </w:r>
            <w:r>
              <w:rPr>
                <w:webHidden/>
              </w:rPr>
              <w:fldChar w:fldCharType="end"/>
            </w:r>
          </w:hyperlink>
        </w:p>
        <w:p w14:paraId="5D699BB2" w14:textId="54DD4230" w:rsidR="00A14CA3" w:rsidRDefault="00A14CA3">
          <w:pPr>
            <w:pStyle w:val="TOC1"/>
            <w:rPr>
              <w:rFonts w:asciiTheme="minorHAnsi" w:eastAsiaTheme="minorEastAsia" w:hAnsiTheme="minorHAnsi"/>
              <w:b w:val="0"/>
              <w:kern w:val="2"/>
              <w:sz w:val="24"/>
              <w:szCs w:val="24"/>
              <w:lang w:eastAsia="en-AU"/>
              <w14:ligatures w14:val="standardContextual"/>
            </w:rPr>
          </w:pPr>
          <w:hyperlink w:anchor="_Toc213679832" w:history="1">
            <w:r w:rsidRPr="00455DC9">
              <w:rPr>
                <w:rStyle w:val="Hyperlink"/>
              </w:rPr>
              <w:t>2</w:t>
            </w:r>
            <w:r>
              <w:rPr>
                <w:rFonts w:asciiTheme="minorHAnsi" w:eastAsiaTheme="minorEastAsia" w:hAnsiTheme="minorHAnsi"/>
                <w:b w:val="0"/>
                <w:kern w:val="2"/>
                <w:sz w:val="24"/>
                <w:szCs w:val="24"/>
                <w:lang w:eastAsia="en-AU"/>
                <w14:ligatures w14:val="standardContextual"/>
              </w:rPr>
              <w:tab/>
            </w:r>
            <w:r w:rsidRPr="00455DC9">
              <w:rPr>
                <w:rStyle w:val="Hyperlink"/>
              </w:rPr>
              <w:t>Our approach to compliance</w:t>
            </w:r>
            <w:r>
              <w:rPr>
                <w:webHidden/>
              </w:rPr>
              <w:tab/>
            </w:r>
            <w:r>
              <w:rPr>
                <w:webHidden/>
              </w:rPr>
              <w:fldChar w:fldCharType="begin"/>
            </w:r>
            <w:r>
              <w:rPr>
                <w:webHidden/>
              </w:rPr>
              <w:instrText xml:space="preserve"> PAGEREF _Toc213679832 \h </w:instrText>
            </w:r>
            <w:r>
              <w:rPr>
                <w:webHidden/>
              </w:rPr>
            </w:r>
            <w:r>
              <w:rPr>
                <w:webHidden/>
              </w:rPr>
              <w:fldChar w:fldCharType="separate"/>
            </w:r>
            <w:r w:rsidR="007B61DC">
              <w:rPr>
                <w:webHidden/>
              </w:rPr>
              <w:t>2</w:t>
            </w:r>
            <w:r>
              <w:rPr>
                <w:webHidden/>
              </w:rPr>
              <w:fldChar w:fldCharType="end"/>
            </w:r>
          </w:hyperlink>
        </w:p>
        <w:p w14:paraId="3786D9DA" w14:textId="26237311" w:rsidR="00A14CA3" w:rsidRDefault="00A14CA3">
          <w:pPr>
            <w:pStyle w:val="TOC1"/>
            <w:rPr>
              <w:rFonts w:asciiTheme="minorHAnsi" w:eastAsiaTheme="minorEastAsia" w:hAnsiTheme="minorHAnsi"/>
              <w:b w:val="0"/>
              <w:kern w:val="2"/>
              <w:sz w:val="24"/>
              <w:szCs w:val="24"/>
              <w:lang w:eastAsia="en-AU"/>
              <w14:ligatures w14:val="standardContextual"/>
            </w:rPr>
          </w:pPr>
          <w:hyperlink w:anchor="_Toc213679833" w:history="1">
            <w:r w:rsidRPr="00455DC9">
              <w:rPr>
                <w:rStyle w:val="Hyperlink"/>
              </w:rPr>
              <w:t>3</w:t>
            </w:r>
            <w:r>
              <w:rPr>
                <w:rFonts w:asciiTheme="minorHAnsi" w:eastAsiaTheme="minorEastAsia" w:hAnsiTheme="minorHAnsi"/>
                <w:b w:val="0"/>
                <w:kern w:val="2"/>
                <w:sz w:val="24"/>
                <w:szCs w:val="24"/>
                <w:lang w:eastAsia="en-AU"/>
                <w14:ligatures w14:val="standardContextual"/>
              </w:rPr>
              <w:tab/>
            </w:r>
            <w:r w:rsidRPr="00455DC9">
              <w:rPr>
                <w:rStyle w:val="Hyperlink"/>
              </w:rPr>
              <w:t>Managing compliance</w:t>
            </w:r>
            <w:r>
              <w:rPr>
                <w:webHidden/>
              </w:rPr>
              <w:tab/>
            </w:r>
            <w:r>
              <w:rPr>
                <w:webHidden/>
              </w:rPr>
              <w:fldChar w:fldCharType="begin"/>
            </w:r>
            <w:r>
              <w:rPr>
                <w:webHidden/>
              </w:rPr>
              <w:instrText xml:space="preserve"> PAGEREF _Toc213679833 \h </w:instrText>
            </w:r>
            <w:r>
              <w:rPr>
                <w:webHidden/>
              </w:rPr>
            </w:r>
            <w:r>
              <w:rPr>
                <w:webHidden/>
              </w:rPr>
              <w:fldChar w:fldCharType="separate"/>
            </w:r>
            <w:r w:rsidR="007B61DC">
              <w:rPr>
                <w:webHidden/>
              </w:rPr>
              <w:t>3</w:t>
            </w:r>
            <w:r>
              <w:rPr>
                <w:webHidden/>
              </w:rPr>
              <w:fldChar w:fldCharType="end"/>
            </w:r>
          </w:hyperlink>
        </w:p>
        <w:p w14:paraId="4B604009" w14:textId="22CDCC67" w:rsidR="00A14CA3" w:rsidRDefault="00A14CA3">
          <w:pPr>
            <w:pStyle w:val="TOC2"/>
            <w:tabs>
              <w:tab w:val="left" w:pos="960"/>
            </w:tabs>
            <w:rPr>
              <w:rFonts w:asciiTheme="minorHAnsi" w:eastAsiaTheme="minorEastAsia" w:hAnsiTheme="minorHAnsi"/>
              <w:kern w:val="2"/>
              <w:sz w:val="24"/>
              <w:szCs w:val="24"/>
              <w:lang w:eastAsia="en-AU"/>
              <w14:ligatures w14:val="standardContextual"/>
            </w:rPr>
          </w:pPr>
          <w:hyperlink w:anchor="_Toc213679834" w:history="1">
            <w:r w:rsidRPr="00455DC9">
              <w:rPr>
                <w:rStyle w:val="Hyperlink"/>
              </w:rPr>
              <w:t>3.1</w:t>
            </w:r>
            <w:r>
              <w:rPr>
                <w:rFonts w:asciiTheme="minorHAnsi" w:eastAsiaTheme="minorEastAsia" w:hAnsiTheme="minorHAnsi"/>
                <w:kern w:val="2"/>
                <w:sz w:val="24"/>
                <w:szCs w:val="24"/>
                <w:lang w:eastAsia="en-AU"/>
                <w14:ligatures w14:val="standardContextual"/>
              </w:rPr>
              <w:tab/>
            </w:r>
            <w:r w:rsidRPr="00455DC9">
              <w:rPr>
                <w:rStyle w:val="Hyperlink"/>
              </w:rPr>
              <w:t>Set policies and procedures</w:t>
            </w:r>
            <w:r>
              <w:rPr>
                <w:webHidden/>
              </w:rPr>
              <w:tab/>
            </w:r>
            <w:r>
              <w:rPr>
                <w:webHidden/>
              </w:rPr>
              <w:fldChar w:fldCharType="begin"/>
            </w:r>
            <w:r>
              <w:rPr>
                <w:webHidden/>
              </w:rPr>
              <w:instrText xml:space="preserve"> PAGEREF _Toc213679834 \h </w:instrText>
            </w:r>
            <w:r>
              <w:rPr>
                <w:webHidden/>
              </w:rPr>
            </w:r>
            <w:r>
              <w:rPr>
                <w:webHidden/>
              </w:rPr>
              <w:fldChar w:fldCharType="separate"/>
            </w:r>
            <w:r w:rsidR="007B61DC">
              <w:rPr>
                <w:webHidden/>
              </w:rPr>
              <w:t>3</w:t>
            </w:r>
            <w:r>
              <w:rPr>
                <w:webHidden/>
              </w:rPr>
              <w:fldChar w:fldCharType="end"/>
            </w:r>
          </w:hyperlink>
        </w:p>
        <w:p w14:paraId="468569D1" w14:textId="1D9B2FB4" w:rsidR="00A14CA3" w:rsidRDefault="00A14CA3">
          <w:pPr>
            <w:pStyle w:val="TOC2"/>
            <w:tabs>
              <w:tab w:val="left" w:pos="960"/>
            </w:tabs>
            <w:rPr>
              <w:rFonts w:asciiTheme="minorHAnsi" w:eastAsiaTheme="minorEastAsia" w:hAnsiTheme="minorHAnsi"/>
              <w:kern w:val="2"/>
              <w:sz w:val="24"/>
              <w:szCs w:val="24"/>
              <w:lang w:eastAsia="en-AU"/>
              <w14:ligatures w14:val="standardContextual"/>
            </w:rPr>
          </w:pPr>
          <w:hyperlink w:anchor="_Toc213679835" w:history="1">
            <w:r w:rsidRPr="00455DC9">
              <w:rPr>
                <w:rStyle w:val="Hyperlink"/>
              </w:rPr>
              <w:t>3.2</w:t>
            </w:r>
            <w:r>
              <w:rPr>
                <w:rFonts w:asciiTheme="minorHAnsi" w:eastAsiaTheme="minorEastAsia" w:hAnsiTheme="minorHAnsi"/>
                <w:kern w:val="2"/>
                <w:sz w:val="24"/>
                <w:szCs w:val="24"/>
                <w:lang w:eastAsia="en-AU"/>
                <w14:ligatures w14:val="standardContextual"/>
              </w:rPr>
              <w:tab/>
            </w:r>
            <w:r w:rsidRPr="00455DC9">
              <w:rPr>
                <w:rStyle w:val="Hyperlink"/>
              </w:rPr>
              <w:t>Set conditions and standards</w:t>
            </w:r>
            <w:r>
              <w:rPr>
                <w:webHidden/>
              </w:rPr>
              <w:tab/>
            </w:r>
            <w:r>
              <w:rPr>
                <w:webHidden/>
              </w:rPr>
              <w:fldChar w:fldCharType="begin"/>
            </w:r>
            <w:r>
              <w:rPr>
                <w:webHidden/>
              </w:rPr>
              <w:instrText xml:space="preserve"> PAGEREF _Toc213679835 \h </w:instrText>
            </w:r>
            <w:r>
              <w:rPr>
                <w:webHidden/>
              </w:rPr>
            </w:r>
            <w:r>
              <w:rPr>
                <w:webHidden/>
              </w:rPr>
              <w:fldChar w:fldCharType="separate"/>
            </w:r>
            <w:r w:rsidR="007B61DC">
              <w:rPr>
                <w:webHidden/>
              </w:rPr>
              <w:t>3</w:t>
            </w:r>
            <w:r>
              <w:rPr>
                <w:webHidden/>
              </w:rPr>
              <w:fldChar w:fldCharType="end"/>
            </w:r>
          </w:hyperlink>
        </w:p>
        <w:p w14:paraId="07395AE2" w14:textId="4095D7B2" w:rsidR="00A14CA3" w:rsidRDefault="00A14CA3">
          <w:pPr>
            <w:pStyle w:val="TOC2"/>
            <w:tabs>
              <w:tab w:val="left" w:pos="960"/>
            </w:tabs>
            <w:rPr>
              <w:rFonts w:asciiTheme="minorHAnsi" w:eastAsiaTheme="minorEastAsia" w:hAnsiTheme="minorHAnsi"/>
              <w:kern w:val="2"/>
              <w:sz w:val="24"/>
              <w:szCs w:val="24"/>
              <w:lang w:eastAsia="en-AU"/>
              <w14:ligatures w14:val="standardContextual"/>
            </w:rPr>
          </w:pPr>
          <w:hyperlink w:anchor="_Toc213679836" w:history="1">
            <w:r w:rsidRPr="00455DC9">
              <w:rPr>
                <w:rStyle w:val="Hyperlink"/>
              </w:rPr>
              <w:t>3.3</w:t>
            </w:r>
            <w:r>
              <w:rPr>
                <w:rFonts w:asciiTheme="minorHAnsi" w:eastAsiaTheme="minorEastAsia" w:hAnsiTheme="minorHAnsi"/>
                <w:kern w:val="2"/>
                <w:sz w:val="24"/>
                <w:szCs w:val="24"/>
                <w:lang w:eastAsia="en-AU"/>
                <w14:ligatures w14:val="standardContextual"/>
              </w:rPr>
              <w:tab/>
            </w:r>
            <w:r w:rsidRPr="00455DC9">
              <w:rPr>
                <w:rStyle w:val="Hyperlink"/>
              </w:rPr>
              <w:t>Issue licences and product registrations</w:t>
            </w:r>
            <w:r>
              <w:rPr>
                <w:webHidden/>
              </w:rPr>
              <w:tab/>
            </w:r>
            <w:r>
              <w:rPr>
                <w:webHidden/>
              </w:rPr>
              <w:fldChar w:fldCharType="begin"/>
            </w:r>
            <w:r>
              <w:rPr>
                <w:webHidden/>
              </w:rPr>
              <w:instrText xml:space="preserve"> PAGEREF _Toc213679836 \h </w:instrText>
            </w:r>
            <w:r>
              <w:rPr>
                <w:webHidden/>
              </w:rPr>
            </w:r>
            <w:r>
              <w:rPr>
                <w:webHidden/>
              </w:rPr>
              <w:fldChar w:fldCharType="separate"/>
            </w:r>
            <w:r w:rsidR="007B61DC">
              <w:rPr>
                <w:webHidden/>
              </w:rPr>
              <w:t>4</w:t>
            </w:r>
            <w:r>
              <w:rPr>
                <w:webHidden/>
              </w:rPr>
              <w:fldChar w:fldCharType="end"/>
            </w:r>
          </w:hyperlink>
        </w:p>
        <w:p w14:paraId="3E604F6B" w14:textId="1516DFA9" w:rsidR="00A14CA3" w:rsidRDefault="00A14CA3">
          <w:pPr>
            <w:pStyle w:val="TOC2"/>
            <w:tabs>
              <w:tab w:val="left" w:pos="960"/>
            </w:tabs>
            <w:rPr>
              <w:rFonts w:asciiTheme="minorHAnsi" w:eastAsiaTheme="minorEastAsia" w:hAnsiTheme="minorHAnsi"/>
              <w:kern w:val="2"/>
              <w:sz w:val="24"/>
              <w:szCs w:val="24"/>
              <w:lang w:eastAsia="en-AU"/>
              <w14:ligatures w14:val="standardContextual"/>
            </w:rPr>
          </w:pPr>
          <w:hyperlink w:anchor="_Toc213679837" w:history="1">
            <w:r w:rsidRPr="00455DC9">
              <w:rPr>
                <w:rStyle w:val="Hyperlink"/>
              </w:rPr>
              <w:t>3.4</w:t>
            </w:r>
            <w:r>
              <w:rPr>
                <w:rFonts w:asciiTheme="minorHAnsi" w:eastAsiaTheme="minorEastAsia" w:hAnsiTheme="minorHAnsi"/>
                <w:kern w:val="2"/>
                <w:sz w:val="24"/>
                <w:szCs w:val="24"/>
                <w:lang w:eastAsia="en-AU"/>
                <w14:ligatures w14:val="standardContextual"/>
              </w:rPr>
              <w:tab/>
            </w:r>
            <w:r w:rsidRPr="00455DC9">
              <w:rPr>
                <w:rStyle w:val="Hyperlink"/>
              </w:rPr>
              <w:t>Undertake monitoring, verification, collection and analysis</w:t>
            </w:r>
            <w:r>
              <w:rPr>
                <w:webHidden/>
              </w:rPr>
              <w:tab/>
            </w:r>
            <w:r>
              <w:rPr>
                <w:webHidden/>
              </w:rPr>
              <w:fldChar w:fldCharType="begin"/>
            </w:r>
            <w:r>
              <w:rPr>
                <w:webHidden/>
              </w:rPr>
              <w:instrText xml:space="preserve"> PAGEREF _Toc213679837 \h </w:instrText>
            </w:r>
            <w:r>
              <w:rPr>
                <w:webHidden/>
              </w:rPr>
            </w:r>
            <w:r>
              <w:rPr>
                <w:webHidden/>
              </w:rPr>
              <w:fldChar w:fldCharType="separate"/>
            </w:r>
            <w:r w:rsidR="007B61DC">
              <w:rPr>
                <w:webHidden/>
              </w:rPr>
              <w:t>4</w:t>
            </w:r>
            <w:r>
              <w:rPr>
                <w:webHidden/>
              </w:rPr>
              <w:fldChar w:fldCharType="end"/>
            </w:r>
          </w:hyperlink>
        </w:p>
        <w:p w14:paraId="0FD38202" w14:textId="6E219133" w:rsidR="00A14CA3" w:rsidRDefault="00A14CA3">
          <w:pPr>
            <w:pStyle w:val="TOC2"/>
            <w:tabs>
              <w:tab w:val="left" w:pos="960"/>
            </w:tabs>
            <w:rPr>
              <w:rFonts w:asciiTheme="minorHAnsi" w:eastAsiaTheme="minorEastAsia" w:hAnsiTheme="minorHAnsi"/>
              <w:kern w:val="2"/>
              <w:sz w:val="24"/>
              <w:szCs w:val="24"/>
              <w:lang w:eastAsia="en-AU"/>
              <w14:ligatures w14:val="standardContextual"/>
            </w:rPr>
          </w:pPr>
          <w:hyperlink w:anchor="_Toc213679838" w:history="1">
            <w:r w:rsidRPr="00455DC9">
              <w:rPr>
                <w:rStyle w:val="Hyperlink"/>
              </w:rPr>
              <w:t>3.5</w:t>
            </w:r>
            <w:r>
              <w:rPr>
                <w:rFonts w:asciiTheme="minorHAnsi" w:eastAsiaTheme="minorEastAsia" w:hAnsiTheme="minorHAnsi"/>
                <w:kern w:val="2"/>
                <w:sz w:val="24"/>
                <w:szCs w:val="24"/>
                <w:lang w:eastAsia="en-AU"/>
                <w14:ligatures w14:val="standardContextual"/>
              </w:rPr>
              <w:tab/>
            </w:r>
            <w:r w:rsidRPr="00455DC9">
              <w:rPr>
                <w:rStyle w:val="Hyperlink"/>
              </w:rPr>
              <w:t>Respond to non-compliance</w:t>
            </w:r>
            <w:r>
              <w:rPr>
                <w:webHidden/>
              </w:rPr>
              <w:tab/>
            </w:r>
            <w:r>
              <w:rPr>
                <w:webHidden/>
              </w:rPr>
              <w:fldChar w:fldCharType="begin"/>
            </w:r>
            <w:r>
              <w:rPr>
                <w:webHidden/>
              </w:rPr>
              <w:instrText xml:space="preserve"> PAGEREF _Toc213679838 \h </w:instrText>
            </w:r>
            <w:r>
              <w:rPr>
                <w:webHidden/>
              </w:rPr>
            </w:r>
            <w:r>
              <w:rPr>
                <w:webHidden/>
              </w:rPr>
              <w:fldChar w:fldCharType="separate"/>
            </w:r>
            <w:r w:rsidR="007B61DC">
              <w:rPr>
                <w:webHidden/>
              </w:rPr>
              <w:t>5</w:t>
            </w:r>
            <w:r>
              <w:rPr>
                <w:webHidden/>
              </w:rPr>
              <w:fldChar w:fldCharType="end"/>
            </w:r>
          </w:hyperlink>
        </w:p>
        <w:p w14:paraId="402F3ACD" w14:textId="70B60CB2" w:rsidR="00A14CA3" w:rsidRDefault="00A14CA3">
          <w:pPr>
            <w:pStyle w:val="TOC1"/>
            <w:rPr>
              <w:rFonts w:asciiTheme="minorHAnsi" w:eastAsiaTheme="minorEastAsia" w:hAnsiTheme="minorHAnsi"/>
              <w:b w:val="0"/>
              <w:kern w:val="2"/>
              <w:sz w:val="24"/>
              <w:szCs w:val="24"/>
              <w:lang w:eastAsia="en-AU"/>
              <w14:ligatures w14:val="standardContextual"/>
            </w:rPr>
          </w:pPr>
          <w:hyperlink w:anchor="_Toc213679839" w:history="1">
            <w:r w:rsidRPr="00455DC9">
              <w:rPr>
                <w:rStyle w:val="Hyperlink"/>
              </w:rPr>
              <w:t>4</w:t>
            </w:r>
            <w:r>
              <w:rPr>
                <w:rFonts w:asciiTheme="minorHAnsi" w:eastAsiaTheme="minorEastAsia" w:hAnsiTheme="minorHAnsi"/>
                <w:b w:val="0"/>
                <w:kern w:val="2"/>
                <w:sz w:val="24"/>
                <w:szCs w:val="24"/>
                <w:lang w:eastAsia="en-AU"/>
                <w14:ligatures w14:val="standardContextual"/>
              </w:rPr>
              <w:tab/>
            </w:r>
            <w:r w:rsidRPr="00455DC9">
              <w:rPr>
                <w:rStyle w:val="Hyperlink"/>
              </w:rPr>
              <w:t>Our compliance priorities</w:t>
            </w:r>
            <w:r>
              <w:rPr>
                <w:webHidden/>
              </w:rPr>
              <w:tab/>
            </w:r>
            <w:r>
              <w:rPr>
                <w:webHidden/>
              </w:rPr>
              <w:fldChar w:fldCharType="begin"/>
            </w:r>
            <w:r>
              <w:rPr>
                <w:webHidden/>
              </w:rPr>
              <w:instrText xml:space="preserve"> PAGEREF _Toc213679839 \h </w:instrText>
            </w:r>
            <w:r>
              <w:rPr>
                <w:webHidden/>
              </w:rPr>
            </w:r>
            <w:r>
              <w:rPr>
                <w:webHidden/>
              </w:rPr>
              <w:fldChar w:fldCharType="separate"/>
            </w:r>
            <w:r w:rsidR="007B61DC">
              <w:rPr>
                <w:webHidden/>
              </w:rPr>
              <w:t>7</w:t>
            </w:r>
            <w:r>
              <w:rPr>
                <w:webHidden/>
              </w:rPr>
              <w:fldChar w:fldCharType="end"/>
            </w:r>
          </w:hyperlink>
        </w:p>
        <w:p w14:paraId="6EEFAD86" w14:textId="34F0E993" w:rsidR="00A14CA3" w:rsidRDefault="00A14CA3">
          <w:pPr>
            <w:pStyle w:val="TOC1"/>
            <w:rPr>
              <w:rFonts w:asciiTheme="minorHAnsi" w:eastAsiaTheme="minorEastAsia" w:hAnsiTheme="minorHAnsi"/>
              <w:b w:val="0"/>
              <w:kern w:val="2"/>
              <w:sz w:val="24"/>
              <w:szCs w:val="24"/>
              <w:lang w:eastAsia="en-AU"/>
              <w14:ligatures w14:val="standardContextual"/>
            </w:rPr>
          </w:pPr>
          <w:hyperlink w:anchor="_Toc213679840" w:history="1">
            <w:r w:rsidRPr="00455DC9">
              <w:rPr>
                <w:rStyle w:val="Hyperlink"/>
              </w:rPr>
              <w:t>5</w:t>
            </w:r>
            <w:r>
              <w:rPr>
                <w:rFonts w:asciiTheme="minorHAnsi" w:eastAsiaTheme="minorEastAsia" w:hAnsiTheme="minorHAnsi"/>
                <w:b w:val="0"/>
                <w:kern w:val="2"/>
                <w:sz w:val="24"/>
                <w:szCs w:val="24"/>
                <w:lang w:eastAsia="en-AU"/>
                <w14:ligatures w14:val="standardContextual"/>
              </w:rPr>
              <w:tab/>
            </w:r>
            <w:r w:rsidRPr="00455DC9">
              <w:rPr>
                <w:rStyle w:val="Hyperlink"/>
              </w:rPr>
              <w:t>Information disclosure</w:t>
            </w:r>
            <w:r>
              <w:rPr>
                <w:webHidden/>
              </w:rPr>
              <w:tab/>
            </w:r>
            <w:r>
              <w:rPr>
                <w:webHidden/>
              </w:rPr>
              <w:fldChar w:fldCharType="begin"/>
            </w:r>
            <w:r>
              <w:rPr>
                <w:webHidden/>
              </w:rPr>
              <w:instrText xml:space="preserve"> PAGEREF _Toc213679840 \h </w:instrText>
            </w:r>
            <w:r>
              <w:rPr>
                <w:webHidden/>
              </w:rPr>
            </w:r>
            <w:r>
              <w:rPr>
                <w:webHidden/>
              </w:rPr>
              <w:fldChar w:fldCharType="separate"/>
            </w:r>
            <w:r w:rsidR="007B61DC">
              <w:rPr>
                <w:webHidden/>
              </w:rPr>
              <w:t>8</w:t>
            </w:r>
            <w:r>
              <w:rPr>
                <w:webHidden/>
              </w:rPr>
              <w:fldChar w:fldCharType="end"/>
            </w:r>
          </w:hyperlink>
        </w:p>
        <w:p w14:paraId="7BE0F2D3" w14:textId="647F964B" w:rsidR="00A14CA3" w:rsidRDefault="00A14CA3">
          <w:pPr>
            <w:pStyle w:val="TOC1"/>
            <w:rPr>
              <w:rFonts w:asciiTheme="minorHAnsi" w:eastAsiaTheme="minorEastAsia" w:hAnsiTheme="minorHAnsi"/>
              <w:b w:val="0"/>
              <w:kern w:val="2"/>
              <w:sz w:val="24"/>
              <w:szCs w:val="24"/>
              <w:lang w:eastAsia="en-AU"/>
              <w14:ligatures w14:val="standardContextual"/>
            </w:rPr>
          </w:pPr>
          <w:hyperlink w:anchor="_Toc213679841" w:history="1">
            <w:r w:rsidRPr="00455DC9">
              <w:rPr>
                <w:rStyle w:val="Hyperlink"/>
              </w:rPr>
              <w:t>6</w:t>
            </w:r>
            <w:r>
              <w:rPr>
                <w:rFonts w:asciiTheme="minorHAnsi" w:eastAsiaTheme="minorEastAsia" w:hAnsiTheme="minorHAnsi"/>
                <w:b w:val="0"/>
                <w:kern w:val="2"/>
                <w:sz w:val="24"/>
                <w:szCs w:val="24"/>
                <w:lang w:eastAsia="en-AU"/>
                <w14:ligatures w14:val="standardContextual"/>
              </w:rPr>
              <w:tab/>
            </w:r>
            <w:r w:rsidRPr="00455DC9">
              <w:rPr>
                <w:rStyle w:val="Hyperlink"/>
              </w:rPr>
              <w:t>Reporting non-compliance</w:t>
            </w:r>
            <w:r>
              <w:rPr>
                <w:webHidden/>
              </w:rPr>
              <w:tab/>
            </w:r>
            <w:r>
              <w:rPr>
                <w:webHidden/>
              </w:rPr>
              <w:fldChar w:fldCharType="begin"/>
            </w:r>
            <w:r>
              <w:rPr>
                <w:webHidden/>
              </w:rPr>
              <w:instrText xml:space="preserve"> PAGEREF _Toc213679841 \h </w:instrText>
            </w:r>
            <w:r>
              <w:rPr>
                <w:webHidden/>
              </w:rPr>
            </w:r>
            <w:r>
              <w:rPr>
                <w:webHidden/>
              </w:rPr>
              <w:fldChar w:fldCharType="separate"/>
            </w:r>
            <w:r w:rsidR="007B61DC">
              <w:rPr>
                <w:webHidden/>
              </w:rPr>
              <w:t>8</w:t>
            </w:r>
            <w:r>
              <w:rPr>
                <w:webHidden/>
              </w:rPr>
              <w:fldChar w:fldCharType="end"/>
            </w:r>
          </w:hyperlink>
        </w:p>
        <w:p w14:paraId="02854002" w14:textId="7FD0804F" w:rsidR="00E63FD5" w:rsidRPr="00E63FD5" w:rsidRDefault="00BD538D" w:rsidP="00E63FD5">
          <w:r>
            <w:rPr>
              <w:b/>
              <w:noProof/>
            </w:rPr>
            <w:fldChar w:fldCharType="end"/>
          </w:r>
        </w:p>
      </w:sdtContent>
    </w:sdt>
    <w:p w14:paraId="3B0B65EE" w14:textId="5DBA7572" w:rsidR="009D42E4" w:rsidRDefault="009D42E4">
      <w:pPr>
        <w:sectPr w:rsidR="009D42E4" w:rsidSect="00D35165">
          <w:headerReference w:type="default" r:id="rId14"/>
          <w:footerReference w:type="default" r:id="rId15"/>
          <w:pgSz w:w="11906" w:h="16838"/>
          <w:pgMar w:top="1418" w:right="1418" w:bottom="1418" w:left="1418" w:header="567" w:footer="283" w:gutter="0"/>
          <w:pgNumType w:fmt="lowerRoman" w:start="0"/>
          <w:cols w:space="708"/>
          <w:docGrid w:linePitch="360"/>
        </w:sectPr>
      </w:pPr>
    </w:p>
    <w:p w14:paraId="07FFBCD3" w14:textId="77777777" w:rsidR="00764D6A" w:rsidRDefault="00BD538D" w:rsidP="00957457">
      <w:pPr>
        <w:pStyle w:val="Heading2"/>
        <w:pageBreakBefore w:val="0"/>
        <w:spacing w:before="240"/>
      </w:pPr>
      <w:bookmarkStart w:id="3" w:name="_Toc106783560"/>
      <w:bookmarkStart w:id="4" w:name="_Toc106783561"/>
      <w:bookmarkStart w:id="5" w:name="_Toc106783562"/>
      <w:bookmarkStart w:id="6" w:name="_Toc106783563"/>
      <w:bookmarkStart w:id="7" w:name="_Toc106783564"/>
      <w:bookmarkStart w:id="8" w:name="_Toc106783565"/>
      <w:bookmarkStart w:id="9" w:name="_Toc430782151"/>
      <w:bookmarkStart w:id="10" w:name="_Toc213679827"/>
      <w:bookmarkEnd w:id="3"/>
      <w:bookmarkEnd w:id="4"/>
      <w:bookmarkEnd w:id="5"/>
      <w:bookmarkEnd w:id="6"/>
      <w:bookmarkEnd w:id="7"/>
      <w:bookmarkEnd w:id="8"/>
      <w:r w:rsidRPr="008F7B07">
        <w:lastRenderedPageBreak/>
        <w:t>Introduction</w:t>
      </w:r>
      <w:bookmarkEnd w:id="9"/>
      <w:bookmarkEnd w:id="10"/>
    </w:p>
    <w:p w14:paraId="65EBE527" w14:textId="7BAEC119" w:rsidR="006C27BE" w:rsidRDefault="008C3AEB" w:rsidP="0003539E">
      <w:pPr>
        <w:pStyle w:val="Heading3"/>
      </w:pPr>
      <w:bookmarkStart w:id="11" w:name="_Toc213679828"/>
      <w:r>
        <w:t xml:space="preserve">About </w:t>
      </w:r>
      <w:r w:rsidR="00CA09B9">
        <w:t>u</w:t>
      </w:r>
      <w:r>
        <w:t>s</w:t>
      </w:r>
      <w:bookmarkEnd w:id="11"/>
    </w:p>
    <w:p w14:paraId="70F772C5" w14:textId="34B02A50" w:rsidR="0027354A" w:rsidRDefault="007652ED" w:rsidP="008F7B07">
      <w:r>
        <w:t>​​​​​The W</w:t>
      </w:r>
      <w:r w:rsidR="00810107">
        <w:t xml:space="preserve">ater </w:t>
      </w:r>
      <w:r w:rsidR="00DB6257">
        <w:t>Efficiency</w:t>
      </w:r>
      <w:r w:rsidR="00810107">
        <w:t xml:space="preserve"> </w:t>
      </w:r>
      <w:r>
        <w:t>L</w:t>
      </w:r>
      <w:r w:rsidR="00810107">
        <w:t>a</w:t>
      </w:r>
      <w:r w:rsidR="00DB6257">
        <w:t xml:space="preserve">belling and </w:t>
      </w:r>
      <w:r>
        <w:t>S</w:t>
      </w:r>
      <w:r w:rsidR="00DB6257">
        <w:t>tandards (WELS)</w:t>
      </w:r>
      <w:r>
        <w:t xml:space="preserve"> scheme </w:t>
      </w:r>
      <w:r w:rsidR="0027354A">
        <w:t xml:space="preserve">is administered by the WELS </w:t>
      </w:r>
      <w:r w:rsidR="00C24361">
        <w:t>Regulator</w:t>
      </w:r>
      <w:r w:rsidR="0027354A">
        <w:t xml:space="preserve"> in the </w:t>
      </w:r>
      <w:r w:rsidR="00C24361">
        <w:t>Australian</w:t>
      </w:r>
      <w:r w:rsidR="0027354A">
        <w:t xml:space="preserve"> G</w:t>
      </w:r>
      <w:r w:rsidR="009A7B46">
        <w:t>ov</w:t>
      </w:r>
      <w:r w:rsidR="0027354A">
        <w:t xml:space="preserve">ernment Department of </w:t>
      </w:r>
      <w:r w:rsidR="00C24361">
        <w:t>Department of Climate Change, Energy, the Environment and Water</w:t>
      </w:r>
      <w:r w:rsidR="004856F1">
        <w:t xml:space="preserve"> (department)</w:t>
      </w:r>
      <w:r w:rsidR="009A7B46">
        <w:t>, on behalf of all Australian governments.</w:t>
      </w:r>
    </w:p>
    <w:p w14:paraId="2B8DFB0D" w14:textId="6564BD18" w:rsidR="00F52347" w:rsidRDefault="00F52347" w:rsidP="008F7B07">
      <w:r>
        <w:t xml:space="preserve">The WELS Regulator appoints WELS Inspectors and </w:t>
      </w:r>
      <w:r w:rsidR="00E92A59">
        <w:t>delegates certain powers to departmental officers.</w:t>
      </w:r>
    </w:p>
    <w:p w14:paraId="7F090085" w14:textId="04C737D9" w:rsidR="00273142" w:rsidRDefault="00273142" w:rsidP="00273142">
      <w:pPr>
        <w:pStyle w:val="Heading3"/>
      </w:pPr>
      <w:bookmarkStart w:id="12" w:name="_Toc213679829"/>
      <w:r>
        <w:t>About the scheme</w:t>
      </w:r>
      <w:bookmarkEnd w:id="12"/>
    </w:p>
    <w:p w14:paraId="743293CE" w14:textId="4E1AF913" w:rsidR="003F2A60" w:rsidRDefault="0027354A" w:rsidP="008F7B07">
      <w:r>
        <w:t xml:space="preserve">The </w:t>
      </w:r>
      <w:r w:rsidR="003F2A60">
        <w:t xml:space="preserve">WELS </w:t>
      </w:r>
      <w:r>
        <w:t xml:space="preserve">scheme </w:t>
      </w:r>
      <w:r w:rsidR="007652ED" w:rsidRPr="007652ED">
        <w:t xml:space="preserve">is Australia's </w:t>
      </w:r>
      <w:r w:rsidR="0095284D">
        <w:t xml:space="preserve">national </w:t>
      </w:r>
      <w:r w:rsidR="003F2A60">
        <w:t>urban water saving scheme</w:t>
      </w:r>
      <w:r w:rsidR="007652ED" w:rsidRPr="007652ED">
        <w:t xml:space="preserve">. </w:t>
      </w:r>
      <w:r w:rsidR="00E855BE">
        <w:t xml:space="preserve">It contributes towards the </w:t>
      </w:r>
      <w:r w:rsidR="00B05F7F">
        <w:t>department</w:t>
      </w:r>
      <w:r w:rsidR="00887056">
        <w:t xml:space="preserve">’s outcomes by contributing towards </w:t>
      </w:r>
      <w:r w:rsidR="00887056" w:rsidRPr="00887056">
        <w:t>sustainably manag</w:t>
      </w:r>
      <w:r w:rsidR="00887056">
        <w:t xml:space="preserve">ing </w:t>
      </w:r>
      <w:r w:rsidR="00887056" w:rsidRPr="00887056">
        <w:t>our water resources</w:t>
      </w:r>
      <w:r w:rsidR="00887056">
        <w:t>.</w:t>
      </w:r>
    </w:p>
    <w:p w14:paraId="60C2755B" w14:textId="77777777" w:rsidR="006C4C1F" w:rsidRDefault="006C4C1F" w:rsidP="006C4C1F">
      <w:r>
        <w:t>The scheme</w:t>
      </w:r>
      <w:r w:rsidRPr="007652ED">
        <w:t xml:space="preserve"> reduces demand for water by informing </w:t>
      </w:r>
      <w:r>
        <w:t xml:space="preserve">Australian </w:t>
      </w:r>
      <w:r w:rsidRPr="007652ED">
        <w:t xml:space="preserve">consumers about </w:t>
      </w:r>
      <w:r>
        <w:t xml:space="preserve">the </w:t>
      </w:r>
      <w:r w:rsidRPr="007652ED">
        <w:t>water efficiency</w:t>
      </w:r>
      <w:r>
        <w:t xml:space="preserve"> of fittings and appliances</w:t>
      </w:r>
      <w:r w:rsidRPr="007652ED">
        <w:t xml:space="preserve"> at the point of sale</w:t>
      </w:r>
      <w:r>
        <w:t xml:space="preserve"> and imposes minimum water efficiency requirements for the products.</w:t>
      </w:r>
    </w:p>
    <w:p w14:paraId="799A208F" w14:textId="52F525AD" w:rsidR="00887056" w:rsidRDefault="00887056" w:rsidP="00887056">
      <w:r>
        <w:t xml:space="preserve">The scheme operates under the </w:t>
      </w:r>
      <w:r w:rsidRPr="00E54D8F">
        <w:rPr>
          <w:i/>
          <w:iCs/>
        </w:rPr>
        <w:t xml:space="preserve">Water Efficiency Labelling and Standards Act 2005 </w:t>
      </w:r>
      <w:r w:rsidRPr="00447665">
        <w:t>(WELS Act</w:t>
      </w:r>
      <w:r>
        <w:t>). The objects of the WELS Act are:</w:t>
      </w:r>
    </w:p>
    <w:p w14:paraId="28DFF760" w14:textId="77777777" w:rsidR="00887056" w:rsidRDefault="00887056" w:rsidP="00887056">
      <w:pPr>
        <w:pStyle w:val="ListBullet"/>
      </w:pPr>
      <w:r>
        <w:t>to conserve water supplies by reducing water consumption</w:t>
      </w:r>
    </w:p>
    <w:p w14:paraId="3321E73B" w14:textId="77777777" w:rsidR="00887056" w:rsidRDefault="00887056" w:rsidP="00887056">
      <w:pPr>
        <w:pStyle w:val="ListBullet"/>
      </w:pPr>
      <w:r>
        <w:t>to provide information for purchasers of water-use and water-saving products</w:t>
      </w:r>
    </w:p>
    <w:p w14:paraId="6EEA5523" w14:textId="63803995" w:rsidR="00887056" w:rsidRDefault="00887056" w:rsidP="00080F11">
      <w:pPr>
        <w:pStyle w:val="ListBullet"/>
      </w:pPr>
      <w:r>
        <w:t>to promote the adoption of efficient and effective water-use and water-saving technologies.</w:t>
      </w:r>
    </w:p>
    <w:p w14:paraId="4E68CB8D" w14:textId="7B0CAAED" w:rsidR="00963A14" w:rsidRDefault="00963A14" w:rsidP="008F7B07">
      <w:r>
        <w:t>The products that are regulated are illustrated in Figure 1.</w:t>
      </w:r>
    </w:p>
    <w:p w14:paraId="6968B7ED" w14:textId="77777777" w:rsidR="005E0729" w:rsidRDefault="005E0729" w:rsidP="008F7B07"/>
    <w:p w14:paraId="6C306D75" w14:textId="3C56DD5C" w:rsidR="00EF4FEE" w:rsidRDefault="00EE31DA" w:rsidP="0043417C">
      <w:pPr>
        <w:tabs>
          <w:tab w:val="left" w:pos="5529"/>
        </w:tabs>
        <w:spacing w:after="0"/>
        <w:jc w:val="center"/>
      </w:pPr>
      <w:r>
        <w:rPr>
          <w:noProof/>
        </w:rPr>
        <w:drawing>
          <wp:inline distT="0" distB="0" distL="0" distR="0" wp14:anchorId="3F95659D" wp14:editId="180FBDC6">
            <wp:extent cx="4257040" cy="3009498"/>
            <wp:effectExtent l="19050" t="19050" r="10160" b="19685"/>
            <wp:docPr id="5" name="Picture 5" descr="Figure 1 shows diagrams of a showerhead, a flow controller, a tap, a toilet, a urinal, a dishwasher, a clothes washing machine and a washer dr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1 shows diagrams of a showerhead, a flow controller, a tap, a toilet, a urinal, a dishwasher, a clothes washing machine and a washer drye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05418" cy="3043699"/>
                    </a:xfrm>
                    <a:prstGeom prst="rect">
                      <a:avLst/>
                    </a:prstGeom>
                    <a:ln>
                      <a:solidFill>
                        <a:schemeClr val="bg1">
                          <a:lumMod val="65000"/>
                        </a:schemeClr>
                      </a:solidFill>
                    </a:ln>
                  </pic:spPr>
                </pic:pic>
              </a:graphicData>
            </a:graphic>
          </wp:inline>
        </w:drawing>
      </w:r>
    </w:p>
    <w:p w14:paraId="31C51FC3" w14:textId="6B76DC4D" w:rsidR="0028285B" w:rsidRPr="0028285B" w:rsidRDefault="0028285B" w:rsidP="00EF4FEE">
      <w:pPr>
        <w:jc w:val="center"/>
        <w:rPr>
          <w:b/>
          <w:bCs/>
        </w:rPr>
      </w:pPr>
      <w:r w:rsidRPr="0028285B">
        <w:rPr>
          <w:b/>
          <w:bCs/>
        </w:rPr>
        <w:t>Figure 1. WELS products</w:t>
      </w:r>
    </w:p>
    <w:p w14:paraId="726815B7" w14:textId="744DF7B8" w:rsidR="0043417C" w:rsidRDefault="00E11F63" w:rsidP="00EF4FEE">
      <w:r>
        <w:lastRenderedPageBreak/>
        <w:t>Under the WELS legislation, the</w:t>
      </w:r>
      <w:r w:rsidR="00E51E22">
        <w:t xml:space="preserve"> products are required to meet Australian Standards for water efficiency and must be registered and labelled with their water rating information when </w:t>
      </w:r>
      <w:r w:rsidR="005E0729">
        <w:t>offered for supply</w:t>
      </w:r>
      <w:r w:rsidR="00E51E22">
        <w:t xml:space="preserve">. </w:t>
      </w:r>
      <w:r w:rsidR="001728C0">
        <w:t xml:space="preserve">The WELS Standard is AS/NZS 6400:2016 </w:t>
      </w:r>
      <w:r w:rsidR="001728C0" w:rsidRPr="00737FA2">
        <w:rPr>
          <w:rStyle w:val="Emphasis"/>
        </w:rPr>
        <w:t xml:space="preserve">Water efficient products </w:t>
      </w:r>
      <w:r w:rsidR="001728C0">
        <w:rPr>
          <w:rStyle w:val="Emphasis"/>
        </w:rPr>
        <w:t>–</w:t>
      </w:r>
      <w:r w:rsidR="001728C0" w:rsidRPr="00737FA2">
        <w:rPr>
          <w:rStyle w:val="Emphasis"/>
        </w:rPr>
        <w:t xml:space="preserve"> Rating and labelling</w:t>
      </w:r>
      <w:r w:rsidR="001728C0">
        <w:t xml:space="preserve">. </w:t>
      </w:r>
    </w:p>
    <w:p w14:paraId="32C8ED9A" w14:textId="0F6F845F" w:rsidR="00B56D35" w:rsidRDefault="00B56D35" w:rsidP="00B56D35">
      <w:r>
        <w:t xml:space="preserve">All parts of the supply chain, from manufacturers through to retailers, </w:t>
      </w:r>
      <w:r w:rsidR="006E0281">
        <w:t xml:space="preserve">are regulated entities who </w:t>
      </w:r>
      <w:r>
        <w:t>have obligation</w:t>
      </w:r>
      <w:r w:rsidR="00B709D9">
        <w:t>s</w:t>
      </w:r>
      <w:r>
        <w:t xml:space="preserve"> to ensure products offered for sale in Australia are registered and labelled correctly. </w:t>
      </w:r>
    </w:p>
    <w:p w14:paraId="15A5F522" w14:textId="1C2285EA" w:rsidR="00B56D35" w:rsidRDefault="00F06FC0" w:rsidP="00F06FC0">
      <w:pPr>
        <w:rPr>
          <w:rStyle w:val="Heading2Char"/>
        </w:rPr>
      </w:pPr>
      <w:r>
        <w:t>For more information about the legislation we administer, see</w:t>
      </w:r>
      <w:r w:rsidR="00B56D35">
        <w:t xml:space="preserve"> </w:t>
      </w:r>
      <w:hyperlink r:id="rId17">
        <w:r w:rsidR="00B56D35" w:rsidRPr="7FBBA990">
          <w:rPr>
            <w:rStyle w:val="Hyperlink"/>
          </w:rPr>
          <w:t>waterrating.gov.au</w:t>
        </w:r>
      </w:hyperlink>
      <w:r w:rsidR="00B56D35">
        <w:t>.</w:t>
      </w:r>
      <w:bookmarkStart w:id="13" w:name="_Hlk109914212"/>
    </w:p>
    <w:p w14:paraId="59CF12A3" w14:textId="6DC1EF7E" w:rsidR="006C27BE" w:rsidRDefault="002B2E6F" w:rsidP="0003539E">
      <w:pPr>
        <w:pStyle w:val="Heading3"/>
      </w:pPr>
      <w:bookmarkStart w:id="14" w:name="_Toc213679830"/>
      <w:r w:rsidRPr="002B2E6F">
        <w:t>Role of this policy</w:t>
      </w:r>
      <w:bookmarkEnd w:id="14"/>
    </w:p>
    <w:p w14:paraId="040A789B" w14:textId="77777777" w:rsidR="006E0281" w:rsidRDefault="006E0281" w:rsidP="006E0281">
      <w:r>
        <w:t>This policy is intended to assist the department, regulated entities and other parties that have duties, obligations and responsibilities under relevant legislation to understand the compliance tools available to the department to ensure legislative requirements are met.</w:t>
      </w:r>
    </w:p>
    <w:p w14:paraId="5C08EB84" w14:textId="657F1728" w:rsidR="00B709D9" w:rsidRDefault="006E0281" w:rsidP="006E0281">
      <w:r>
        <w:t xml:space="preserve">This is an administrative document intended to provide an overview of the </w:t>
      </w:r>
      <w:r w:rsidR="00B709D9">
        <w:t>WELS Regulator’s</w:t>
      </w:r>
      <w:r>
        <w:t xml:space="preserve"> compliance tools and general information about when </w:t>
      </w:r>
      <w:r w:rsidR="00B709D9">
        <w:t>they</w:t>
      </w:r>
      <w:r>
        <w:t xml:space="preserve"> may use these tools. It does not reduce, extend or modify legislative obligations or powers contained in the legislation.</w:t>
      </w:r>
    </w:p>
    <w:p w14:paraId="776B367E" w14:textId="2E41BFDA" w:rsidR="00AA74C6" w:rsidRDefault="00AA74C6" w:rsidP="00080F11">
      <w:r w:rsidRPr="00AA74C6">
        <w:t xml:space="preserve">This policy assists but does not control the </w:t>
      </w:r>
      <w:r>
        <w:t xml:space="preserve">WELS Regulator’s </w:t>
      </w:r>
      <w:r w:rsidRPr="00AA74C6">
        <w:t>compliance-related decisions. Each decision will consider matters relevant to the circumstances.</w:t>
      </w:r>
    </w:p>
    <w:p w14:paraId="05A3A9BA" w14:textId="071FED38" w:rsidR="00463678" w:rsidRPr="002B2E6F" w:rsidRDefault="00463678" w:rsidP="00080F11">
      <w:r>
        <w:t xml:space="preserve">The </w:t>
      </w:r>
      <w:r w:rsidR="00262E96">
        <w:t xml:space="preserve">use of the </w:t>
      </w:r>
      <w:r>
        <w:t xml:space="preserve">term ‘entity’ </w:t>
      </w:r>
      <w:r w:rsidR="000B7EF9">
        <w:t xml:space="preserve">in this policy </w:t>
      </w:r>
      <w:r w:rsidR="00262E96">
        <w:t>refers to</w:t>
      </w:r>
      <w:r w:rsidR="000B7EF9">
        <w:t xml:space="preserve"> a</w:t>
      </w:r>
      <w:r w:rsidR="00E17048">
        <w:t xml:space="preserve"> person</w:t>
      </w:r>
      <w:r w:rsidR="000B7EF9">
        <w:t xml:space="preserve"> or</w:t>
      </w:r>
      <w:r w:rsidR="00E17048">
        <w:t xml:space="preserve"> business </w:t>
      </w:r>
      <w:r w:rsidR="000B7EF9">
        <w:t>who</w:t>
      </w:r>
      <w:r w:rsidR="00E17048">
        <w:t xml:space="preserve"> </w:t>
      </w:r>
      <w:r w:rsidR="000B7EF9">
        <w:t>is</w:t>
      </w:r>
      <w:r w:rsidR="00E17048">
        <w:t xml:space="preserve"> legally responsible under th</w:t>
      </w:r>
      <w:r w:rsidR="000B7EF9">
        <w:t>e</w:t>
      </w:r>
      <w:r w:rsidR="00E17048">
        <w:t xml:space="preserve"> </w:t>
      </w:r>
      <w:r w:rsidR="000B7EF9">
        <w:t>WELS Act.</w:t>
      </w:r>
    </w:p>
    <w:p w14:paraId="0ED18A8A" w14:textId="38E65090" w:rsidR="00F40AF8" w:rsidRPr="00080F11" w:rsidRDefault="0084309B" w:rsidP="0084309B">
      <w:pPr>
        <w:pStyle w:val="Heading3"/>
        <w:rPr>
          <w:lang w:eastAsia="ja-JP"/>
        </w:rPr>
      </w:pPr>
      <w:bookmarkStart w:id="15" w:name="_Toc213679831"/>
      <w:r w:rsidRPr="0084309B">
        <w:t>Our compliance policy</w:t>
      </w:r>
      <w:bookmarkEnd w:id="15"/>
    </w:p>
    <w:p w14:paraId="12F8E496" w14:textId="07F62916" w:rsidR="005305F2" w:rsidRDefault="005305F2" w:rsidP="004B4873">
      <w:pPr>
        <w:rPr>
          <w:b/>
          <w:bCs/>
        </w:rPr>
      </w:pPr>
      <w:r w:rsidRPr="005305F2">
        <w:t>This policy outlines our approach to compliance</w:t>
      </w:r>
      <w:r w:rsidR="0083553F">
        <w:t xml:space="preserve"> </w:t>
      </w:r>
      <w:r w:rsidR="00351D17" w:rsidRPr="0083553F">
        <w:t xml:space="preserve">and </w:t>
      </w:r>
      <w:r w:rsidR="0083553F" w:rsidRPr="0083553F">
        <w:t>how we manag</w:t>
      </w:r>
      <w:r w:rsidR="0083553F">
        <w:t>e</w:t>
      </w:r>
      <w:r w:rsidR="0083553F" w:rsidRPr="0083553F">
        <w:t xml:space="preserve"> </w:t>
      </w:r>
      <w:r w:rsidRPr="0083553F">
        <w:t>compliance</w:t>
      </w:r>
      <w:r w:rsidRPr="005305F2">
        <w:t>.</w:t>
      </w:r>
    </w:p>
    <w:p w14:paraId="7394F119" w14:textId="77777777" w:rsidR="00335D68" w:rsidRDefault="00335D68" w:rsidP="004B4873">
      <w:r w:rsidRPr="005305F2">
        <w:t>This policy operates within the context of the Australian Government’s law enforcement framework but does not apply to the regulatory or compliance activities undertaken by other Australian Government agencies, including those within our portfolio. However, we may partner with these agencies to achieve regulatory outcomes.</w:t>
      </w:r>
    </w:p>
    <w:p w14:paraId="12CDA595" w14:textId="728DD86E" w:rsidR="0084309B" w:rsidRPr="00080F11" w:rsidRDefault="005305F2" w:rsidP="004B4873">
      <w:r>
        <w:t xml:space="preserve">This policy </w:t>
      </w:r>
      <w:r w:rsidR="007A74CB">
        <w:t>should be read in conjunction with the department’s Compliance Policy, available at</w:t>
      </w:r>
      <w:r w:rsidR="00320153">
        <w:t xml:space="preserve"> </w:t>
      </w:r>
      <w:hyperlink r:id="rId18" w:history="1">
        <w:r w:rsidR="00E01E84" w:rsidRPr="00F26673">
          <w:rPr>
            <w:rStyle w:val="Hyperlink"/>
          </w:rPr>
          <w:t>dcceew.gov.au</w:t>
        </w:r>
      </w:hyperlink>
      <w:r w:rsidR="00E01E84">
        <w:t>.</w:t>
      </w:r>
    </w:p>
    <w:p w14:paraId="152A8B3C" w14:textId="40547B20" w:rsidR="00697C9E" w:rsidRPr="00395433" w:rsidRDefault="00F7707C" w:rsidP="0003539E">
      <w:pPr>
        <w:pStyle w:val="Heading2"/>
        <w:pageBreakBefore w:val="0"/>
        <w:spacing w:before="240"/>
        <w:rPr>
          <w:rStyle w:val="Heading2Char"/>
          <w:bCs/>
        </w:rPr>
      </w:pPr>
      <w:bookmarkStart w:id="16" w:name="_Toc213679832"/>
      <w:r>
        <w:t xml:space="preserve">Our approach to </w:t>
      </w:r>
      <w:bookmarkStart w:id="17" w:name="_Toc111817114"/>
      <w:bookmarkEnd w:id="13"/>
      <w:bookmarkEnd w:id="17"/>
      <w:r>
        <w:rPr>
          <w:rStyle w:val="Heading2Char"/>
        </w:rPr>
        <w:t>c</w:t>
      </w:r>
      <w:r w:rsidR="00BD538D" w:rsidRPr="00EC2F24">
        <w:rPr>
          <w:rStyle w:val="Heading2Char"/>
        </w:rPr>
        <w:t>ompliance</w:t>
      </w:r>
      <w:bookmarkEnd w:id="16"/>
      <w:r w:rsidR="00BD538D" w:rsidRPr="00395433">
        <w:rPr>
          <w:rStyle w:val="Heading2Char"/>
          <w:bCs/>
        </w:rPr>
        <w:t xml:space="preserve"> </w:t>
      </w:r>
    </w:p>
    <w:p w14:paraId="62A02D8A" w14:textId="529F437E" w:rsidR="00B1691D" w:rsidRDefault="00B1691D" w:rsidP="00B1691D">
      <w:r>
        <w:t xml:space="preserve">Our compliance </w:t>
      </w:r>
      <w:r w:rsidR="00160BFF">
        <w:t xml:space="preserve">approach and </w:t>
      </w:r>
      <w:r>
        <w:t xml:space="preserve">posture </w:t>
      </w:r>
      <w:proofErr w:type="gramStart"/>
      <w:r>
        <w:t>is</w:t>
      </w:r>
      <w:proofErr w:type="gramEnd"/>
      <w:r>
        <w:t xml:space="preserve"> to work collaboratively and in partnership with industry, states and territories, other government departments and international partners to achieve regulatory outcomes. </w:t>
      </w:r>
    </w:p>
    <w:p w14:paraId="091AAE18" w14:textId="77777777" w:rsidR="001E67D6" w:rsidRDefault="001E67D6" w:rsidP="001E67D6">
      <w:r>
        <w:t xml:space="preserve">We respond to detected and suspected non-compliance proportionately to the potential harm posed by the non-compliance and in a way that allows for procedural fairness and natural justice. </w:t>
      </w:r>
    </w:p>
    <w:p w14:paraId="5F957D79" w14:textId="77777777" w:rsidR="001E67D6" w:rsidRDefault="001E67D6" w:rsidP="001E67D6">
      <w:r>
        <w:lastRenderedPageBreak/>
        <w:t xml:space="preserve">We acknowledge that most regulated entities accept the obligations imposed on them by legislation and comply voluntarily. </w:t>
      </w:r>
    </w:p>
    <w:p w14:paraId="04FB71FD" w14:textId="77777777" w:rsidR="001E67D6" w:rsidRDefault="001E67D6" w:rsidP="001E67D6">
      <w:r>
        <w:t>We will work with entities to provide support for them to understand their obligations and to ensure ongoing compliance.</w:t>
      </w:r>
    </w:p>
    <w:p w14:paraId="341DAEF5" w14:textId="77777777" w:rsidR="00B1691D" w:rsidRDefault="001E67D6" w:rsidP="001E67D6">
      <w:r>
        <w:t>Where non-compliance cannot be resolved cooperatively, the WELS Regulator has a range of options to escalate the response, including the use of civil and enforcement provisions, if necessary.</w:t>
      </w:r>
    </w:p>
    <w:p w14:paraId="322201CD" w14:textId="4D1B5DF9" w:rsidR="00DE4252" w:rsidRPr="00080F11" w:rsidRDefault="00394BC4" w:rsidP="00394BC4">
      <w:pPr>
        <w:pStyle w:val="Heading2"/>
        <w:pageBreakBefore w:val="0"/>
        <w:spacing w:before="240"/>
      </w:pPr>
      <w:bookmarkStart w:id="18" w:name="_Toc213679833"/>
      <w:r>
        <w:t>Managing</w:t>
      </w:r>
      <w:r w:rsidR="00DE4252" w:rsidRPr="00394BC4">
        <w:t xml:space="preserve"> </w:t>
      </w:r>
      <w:r w:rsidR="00345033">
        <w:t>compliance</w:t>
      </w:r>
      <w:bookmarkEnd w:id="18"/>
      <w:r w:rsidR="00274DDA">
        <w:t xml:space="preserve"> </w:t>
      </w:r>
    </w:p>
    <w:p w14:paraId="5BE3C3BB" w14:textId="71E26473" w:rsidR="008F1504" w:rsidRDefault="006C2D7E" w:rsidP="008F1504">
      <w:r w:rsidRPr="004A275A">
        <w:t>In conducting all compliance activities, we aim to make decisions that are lawful, evidence-based and transparent</w:t>
      </w:r>
      <w:r>
        <w:t xml:space="preserve">. </w:t>
      </w:r>
      <w:r w:rsidR="008F1504">
        <w:t xml:space="preserve">To </w:t>
      </w:r>
      <w:r w:rsidR="00A07AD1">
        <w:t>administer and enforce the</w:t>
      </w:r>
      <w:r w:rsidR="008F1504">
        <w:t xml:space="preserve"> legislation we:</w:t>
      </w:r>
    </w:p>
    <w:p w14:paraId="4BD8D737" w14:textId="610DE4E8" w:rsidR="008F1504" w:rsidRDefault="008F1504" w:rsidP="008F1504">
      <w:r>
        <w:t>•</w:t>
      </w:r>
      <w:r>
        <w:tab/>
      </w:r>
      <w:r w:rsidR="0004456E">
        <w:t>set</w:t>
      </w:r>
      <w:r>
        <w:t xml:space="preserve"> policies and procedures</w:t>
      </w:r>
    </w:p>
    <w:p w14:paraId="22BF56FE" w14:textId="7971799C" w:rsidR="008F1504" w:rsidRDefault="008F1504" w:rsidP="008F1504">
      <w:r>
        <w:t>•</w:t>
      </w:r>
      <w:r>
        <w:tab/>
        <w:t>set conditions and standards</w:t>
      </w:r>
      <w:r w:rsidR="00DD538D">
        <w:t xml:space="preserve"> </w:t>
      </w:r>
    </w:p>
    <w:p w14:paraId="77FB9484" w14:textId="2D247BF9" w:rsidR="00524C7A" w:rsidRDefault="00524C7A" w:rsidP="008F1504">
      <w:r>
        <w:t>•</w:t>
      </w:r>
      <w:r>
        <w:tab/>
      </w:r>
      <w:r w:rsidR="00222785">
        <w:t>issue</w:t>
      </w:r>
      <w:r w:rsidR="00AE0709">
        <w:t xml:space="preserve"> licences and product registration</w:t>
      </w:r>
      <w:r w:rsidR="00222785">
        <w:t>s</w:t>
      </w:r>
    </w:p>
    <w:p w14:paraId="5F90BE2D" w14:textId="06F81DCE" w:rsidR="00810423" w:rsidRDefault="005407A5" w:rsidP="005407A5">
      <w:r>
        <w:t>•</w:t>
      </w:r>
      <w:r>
        <w:tab/>
      </w:r>
      <w:bookmarkStart w:id="19" w:name="_Hlk212463581"/>
      <w:r w:rsidR="008B7202">
        <w:t>undertake</w:t>
      </w:r>
      <w:r w:rsidR="008042F2">
        <w:t xml:space="preserve"> </w:t>
      </w:r>
      <w:bookmarkEnd w:id="19"/>
      <w:r w:rsidR="00284778">
        <w:t>m</w:t>
      </w:r>
      <w:r w:rsidR="00284778" w:rsidRPr="00284778">
        <w:t>onitoring, verification, collection and analysis</w:t>
      </w:r>
      <w:r w:rsidR="0020323A">
        <w:t>, and</w:t>
      </w:r>
    </w:p>
    <w:p w14:paraId="5E6CBC6E" w14:textId="4C385944" w:rsidR="00EF4B1B" w:rsidRDefault="00C91FB7" w:rsidP="00EF4B1B">
      <w:pPr>
        <w:ind w:left="709" w:hanging="709"/>
      </w:pPr>
      <w:r>
        <w:t>•</w:t>
      </w:r>
      <w:r>
        <w:tab/>
        <w:t xml:space="preserve">respond to </w:t>
      </w:r>
      <w:r w:rsidR="00524C7A">
        <w:t>non-compliance</w:t>
      </w:r>
      <w:bookmarkStart w:id="20" w:name="_Toc111817122"/>
      <w:bookmarkStart w:id="21" w:name="_Toc111817123"/>
      <w:bookmarkEnd w:id="20"/>
      <w:bookmarkEnd w:id="21"/>
      <w:r w:rsidR="00EF4B1B">
        <w:t>.</w:t>
      </w:r>
    </w:p>
    <w:p w14:paraId="226AB35F" w14:textId="3DA0D734" w:rsidR="00315520" w:rsidRDefault="0004456E" w:rsidP="00EF4B1B">
      <w:pPr>
        <w:pStyle w:val="Heading3"/>
      </w:pPr>
      <w:bookmarkStart w:id="22" w:name="_Toc213679834"/>
      <w:r>
        <w:t>Set p</w:t>
      </w:r>
      <w:r w:rsidR="006D5EF3">
        <w:t>olicies and procedures</w:t>
      </w:r>
      <w:bookmarkEnd w:id="22"/>
    </w:p>
    <w:p w14:paraId="2E863855" w14:textId="1A688F74" w:rsidR="0067120F" w:rsidRDefault="00DC434E" w:rsidP="006D5EF3">
      <w:r>
        <w:t xml:space="preserve">Our policies and procedures </w:t>
      </w:r>
      <w:r w:rsidR="00AD479B">
        <w:t xml:space="preserve">are developed within the </w:t>
      </w:r>
      <w:r w:rsidR="001145A4">
        <w:t xml:space="preserve">WELS legislative framework in addition to broader </w:t>
      </w:r>
      <w:r w:rsidR="0067120F">
        <w:t>requirements</w:t>
      </w:r>
      <w:r w:rsidR="001145A4">
        <w:t xml:space="preserve"> and obligations of </w:t>
      </w:r>
      <w:r w:rsidR="004D38AF">
        <w:t>C</w:t>
      </w:r>
      <w:r w:rsidR="001145A4">
        <w:t xml:space="preserve">ommonwealth </w:t>
      </w:r>
      <w:r w:rsidR="0067120F">
        <w:t xml:space="preserve">regulators and </w:t>
      </w:r>
      <w:r w:rsidR="00331B42">
        <w:t xml:space="preserve">of </w:t>
      </w:r>
      <w:r w:rsidR="0067120F">
        <w:t>public servants. Where appropriate, polici</w:t>
      </w:r>
      <w:r w:rsidR="00686CF2">
        <w:t xml:space="preserve">es and procedures will be published on the Water Rating website. This includes </w:t>
      </w:r>
      <w:r w:rsidR="008841EE">
        <w:t>policies such as th</w:t>
      </w:r>
      <w:r w:rsidR="00331B42">
        <w:t xml:space="preserve">e </w:t>
      </w:r>
      <w:r w:rsidR="00F13FD0">
        <w:t xml:space="preserve">WELS </w:t>
      </w:r>
      <w:r w:rsidR="00331B42">
        <w:t>Compliance</w:t>
      </w:r>
      <w:r w:rsidR="008841EE">
        <w:t xml:space="preserve"> </w:t>
      </w:r>
      <w:r w:rsidR="25A1B202">
        <w:t>P</w:t>
      </w:r>
      <w:r w:rsidR="008841EE">
        <w:t>olicy, procedures</w:t>
      </w:r>
      <w:r w:rsidR="00686CF2">
        <w:t xml:space="preserve"> such as how to apply to register products under the scheme</w:t>
      </w:r>
      <w:r w:rsidR="004D38AF">
        <w:t>.</w:t>
      </w:r>
    </w:p>
    <w:p w14:paraId="2B285775" w14:textId="2D622C3E" w:rsidR="00584C0E" w:rsidRDefault="0004456E" w:rsidP="00584C0E">
      <w:pPr>
        <w:pStyle w:val="Heading3"/>
      </w:pPr>
      <w:bookmarkStart w:id="23" w:name="_Toc213679835"/>
      <w:r>
        <w:t>Set c</w:t>
      </w:r>
      <w:r w:rsidR="00F72EE7">
        <w:t>onditions and standards</w:t>
      </w:r>
      <w:bookmarkEnd w:id="23"/>
    </w:p>
    <w:p w14:paraId="45AFFE18" w14:textId="43650979" w:rsidR="00584C0E" w:rsidRDefault="1DE12580" w:rsidP="00584C0E">
      <w:r>
        <w:t xml:space="preserve">The conditions of the WELS scheme are set out in legislation and </w:t>
      </w:r>
      <w:r w:rsidR="09E5A696">
        <w:t xml:space="preserve">Australian and New Zealand standards.  Both </w:t>
      </w:r>
      <w:r w:rsidR="4BFCADEE">
        <w:t xml:space="preserve">legislation and standards are developed </w:t>
      </w:r>
      <w:r w:rsidR="424B44D4">
        <w:t>in</w:t>
      </w:r>
      <w:r w:rsidR="65C0B39A">
        <w:t xml:space="preserve"> </w:t>
      </w:r>
      <w:r w:rsidR="4BFCADEE">
        <w:t xml:space="preserve">consultation with </w:t>
      </w:r>
      <w:r w:rsidR="65C0B39A">
        <w:t>stakeholders who will need to implement the requirements</w:t>
      </w:r>
      <w:r w:rsidR="0ACC3EA7">
        <w:t>, however l</w:t>
      </w:r>
      <w:r w:rsidR="69C5E42D">
        <w:t xml:space="preserve">egislation is ultimately a decision of government. </w:t>
      </w:r>
      <w:r w:rsidR="7C0E7E9C">
        <w:t>The WELS Standard AS/NZS</w:t>
      </w:r>
      <w:r w:rsidR="60FF8F7E">
        <w:t xml:space="preserve"> </w:t>
      </w:r>
      <w:r w:rsidR="7C0E7E9C">
        <w:t xml:space="preserve">6400 and related product specific standards, are </w:t>
      </w:r>
      <w:r w:rsidR="39F12F4D">
        <w:t>codesigned and voted on with industry and regulators</w:t>
      </w:r>
      <w:r w:rsidR="1491EBDC">
        <w:t>, and</w:t>
      </w:r>
      <w:r w:rsidR="0ACC3EA7">
        <w:t xml:space="preserve"> the</w:t>
      </w:r>
      <w:r w:rsidR="1491EBDC">
        <w:t xml:space="preserve"> process is overseen and managed by Standards Australia.</w:t>
      </w:r>
    </w:p>
    <w:p w14:paraId="0BB3A95A" w14:textId="65038B63" w:rsidR="00584C0E" w:rsidRDefault="00FD4275" w:rsidP="00584C0E">
      <w:r>
        <w:t xml:space="preserve">Additional technical requirements may be specified when the legislation and standards are unclear. </w:t>
      </w:r>
      <w:r w:rsidR="004E1936">
        <w:t xml:space="preserve">The WELS Regulator may </w:t>
      </w:r>
      <w:r w:rsidR="00921C2B">
        <w:t>publish</w:t>
      </w:r>
      <w:r w:rsidR="004E1936">
        <w:t xml:space="preserve"> </w:t>
      </w:r>
      <w:r w:rsidR="00F85644">
        <w:t xml:space="preserve">regulatory advice notices </w:t>
      </w:r>
      <w:r w:rsidR="00921C2B">
        <w:t xml:space="preserve">on the Water Rating website. These are </w:t>
      </w:r>
      <w:r w:rsidR="00F83394">
        <w:t xml:space="preserve">provided to known affected entities. Unless urgent in nature, industry and </w:t>
      </w:r>
      <w:r w:rsidR="00A56ACD">
        <w:t>regulators</w:t>
      </w:r>
      <w:r w:rsidR="00F83394">
        <w:t xml:space="preserve"> </w:t>
      </w:r>
      <w:r w:rsidR="00A56ACD">
        <w:t>are consulted on draft notices, to ensure they can be implemented</w:t>
      </w:r>
      <w:r w:rsidR="00DF618C">
        <w:t xml:space="preserve"> and achieve the desired outcome</w:t>
      </w:r>
      <w:r w:rsidR="00A56ACD">
        <w:t>.</w:t>
      </w:r>
    </w:p>
    <w:p w14:paraId="067491E1" w14:textId="38986D84" w:rsidR="00584C0E" w:rsidRDefault="00222785" w:rsidP="00584C0E">
      <w:pPr>
        <w:pStyle w:val="Heading3"/>
      </w:pPr>
      <w:bookmarkStart w:id="24" w:name="_Toc213679836"/>
      <w:r>
        <w:lastRenderedPageBreak/>
        <w:t>Issue</w:t>
      </w:r>
      <w:r w:rsidR="001B3EBB">
        <w:t xml:space="preserve"> </w:t>
      </w:r>
      <w:r w:rsidR="00F72EE7">
        <w:t xml:space="preserve">licences </w:t>
      </w:r>
      <w:r w:rsidR="0093033F">
        <w:t xml:space="preserve">and </w:t>
      </w:r>
      <w:r w:rsidR="00D13E75">
        <w:t>product registration</w:t>
      </w:r>
      <w:r w:rsidR="0093033F">
        <w:t>s</w:t>
      </w:r>
      <w:bookmarkEnd w:id="24"/>
    </w:p>
    <w:p w14:paraId="410D1059" w14:textId="04055BFA" w:rsidR="00584C0E" w:rsidRDefault="47816005" w:rsidP="00584C0E">
      <w:r>
        <w:t xml:space="preserve">Delegated Registration officers </w:t>
      </w:r>
      <w:r w:rsidR="6264C6EC">
        <w:t xml:space="preserve">grant licences for businesses to </w:t>
      </w:r>
      <w:r w:rsidR="1BF85935">
        <w:t xml:space="preserve">gain access to the WELS registration system </w:t>
      </w:r>
      <w:proofErr w:type="gramStart"/>
      <w:r w:rsidR="06AD2F43">
        <w:t xml:space="preserve">in order </w:t>
      </w:r>
      <w:r w:rsidR="1BF85935">
        <w:t>to</w:t>
      </w:r>
      <w:proofErr w:type="gramEnd"/>
      <w:r w:rsidR="1BF85935">
        <w:t xml:space="preserve"> apply to </w:t>
      </w:r>
      <w:r w:rsidR="6264C6EC">
        <w:t xml:space="preserve">register products under the scheme. </w:t>
      </w:r>
    </w:p>
    <w:p w14:paraId="6C1CD106" w14:textId="20622563" w:rsidR="001B534D" w:rsidRDefault="001B534D" w:rsidP="00584C0E">
      <w:r>
        <w:t>Registration officers consider the application information and supporting evidence</w:t>
      </w:r>
      <w:r w:rsidR="00C25845">
        <w:t>. Where the information is incorrect or insufficient, the application is returned</w:t>
      </w:r>
      <w:r w:rsidR="006F49EE">
        <w:t xml:space="preserve"> to the registrant for correction and resubmission.</w:t>
      </w:r>
    </w:p>
    <w:p w14:paraId="71D3D48D" w14:textId="59399A8B" w:rsidR="00D1290E" w:rsidRDefault="00D1290E" w:rsidP="00584C0E">
      <w:r>
        <w:t xml:space="preserve">An application can be </w:t>
      </w:r>
      <w:r w:rsidR="00AE33FF">
        <w:t xml:space="preserve">refused where the information does not support the application. </w:t>
      </w:r>
      <w:r w:rsidR="00712750">
        <w:t>Th</w:t>
      </w:r>
      <w:r w:rsidR="00A255C3">
        <w:t xml:space="preserve">e </w:t>
      </w:r>
      <w:r w:rsidR="00712750">
        <w:t xml:space="preserve">registrant can seek </w:t>
      </w:r>
      <w:r w:rsidR="00A255C3">
        <w:t xml:space="preserve">a review of the decision, and if unsatisfied, can </w:t>
      </w:r>
      <w:r w:rsidR="003C1DCA">
        <w:t>challenge the decision though the Administrative Review Tribunal.</w:t>
      </w:r>
    </w:p>
    <w:p w14:paraId="2D38F53C" w14:textId="4491C8AF" w:rsidR="00584C0E" w:rsidRDefault="005B028C" w:rsidP="00584C0E">
      <w:r>
        <w:t>For products that are registered, their registration can be suspended o</w:t>
      </w:r>
      <w:r w:rsidR="00C9447A">
        <w:t>r</w:t>
      </w:r>
      <w:r>
        <w:t xml:space="preserve"> cancelled if the information </w:t>
      </w:r>
      <w:r w:rsidR="00C9447A">
        <w:t>relied on in the</w:t>
      </w:r>
      <w:r>
        <w:t xml:space="preserve"> application </w:t>
      </w:r>
      <w:r w:rsidR="00D1208C">
        <w:t>was not accurate or changes to no longer be accurate</w:t>
      </w:r>
      <w:r w:rsidR="00C9447A">
        <w:t>.</w:t>
      </w:r>
      <w:r w:rsidR="007D0CB8">
        <w:t xml:space="preserve"> As for application refusals, the registrant can seek a review of the decision, and if unsatisfied, can challenge the decision though the Administrative Review Tribunal.</w:t>
      </w:r>
    </w:p>
    <w:p w14:paraId="7D24BC89" w14:textId="0FF3ED24" w:rsidR="00584C0E" w:rsidRDefault="008147F9" w:rsidP="00584C0E">
      <w:pPr>
        <w:pStyle w:val="Heading3"/>
      </w:pPr>
      <w:bookmarkStart w:id="25" w:name="_Toc213679837"/>
      <w:r>
        <w:t>Undertake m</w:t>
      </w:r>
      <w:r w:rsidR="003F3FA4" w:rsidRPr="003F3FA4">
        <w:t>onitoring, verification, collection and analysis</w:t>
      </w:r>
      <w:bookmarkEnd w:id="25"/>
    </w:p>
    <w:p w14:paraId="14A5F240" w14:textId="1822D11D" w:rsidR="00FF201E" w:rsidRDefault="00054C80" w:rsidP="00054C80">
      <w:r>
        <w:t xml:space="preserve">We routinely monitor and verify compliance </w:t>
      </w:r>
      <w:r w:rsidR="007F0B58">
        <w:t>through inspections</w:t>
      </w:r>
      <w:r w:rsidR="00FF201E">
        <w:t xml:space="preserve"> and responding to allegations</w:t>
      </w:r>
      <w:r>
        <w:t xml:space="preserve">. </w:t>
      </w:r>
    </w:p>
    <w:p w14:paraId="562DD585" w14:textId="792C7160" w:rsidR="00FF201E" w:rsidRDefault="00FF201E" w:rsidP="7FBBA990">
      <w:r>
        <w:t xml:space="preserve">Allegations of non-compliance are regularly provided to the WELS Regulator. Each allegation is </w:t>
      </w:r>
      <w:r w:rsidR="4EC78584">
        <w:t xml:space="preserve">recorded and </w:t>
      </w:r>
      <w:r>
        <w:t>assessed.</w:t>
      </w:r>
    </w:p>
    <w:p w14:paraId="45683369" w14:textId="1713A5B8" w:rsidR="007F0B58" w:rsidRDefault="0615FD3B" w:rsidP="00054C80">
      <w:r>
        <w:t xml:space="preserve">We </w:t>
      </w:r>
      <w:r w:rsidR="4FA5C164">
        <w:t xml:space="preserve">also proactively </w:t>
      </w:r>
      <w:r>
        <w:t xml:space="preserve">inspect websites, internet marketplaces, retail outlets and display centres for non-compliant products and product labelling. Identifying unlabelled </w:t>
      </w:r>
      <w:r w:rsidR="47194AF7">
        <w:t xml:space="preserve">(including incorrectly labelled) </w:t>
      </w:r>
      <w:r>
        <w:t xml:space="preserve">and unregistered product being offered for supply is generally straight forward. </w:t>
      </w:r>
    </w:p>
    <w:p w14:paraId="76E4646F" w14:textId="31E5500B" w:rsidR="00054C80" w:rsidRDefault="00054C80" w:rsidP="00054C80">
      <w:r>
        <w:t>Information and data collection and analysis can include:</w:t>
      </w:r>
    </w:p>
    <w:p w14:paraId="32EDFCBF" w14:textId="77777777" w:rsidR="00054C80" w:rsidRDefault="00054C80" w:rsidP="000F4CE5">
      <w:pPr>
        <w:spacing w:after="120"/>
      </w:pPr>
      <w:r>
        <w:t>•</w:t>
      </w:r>
      <w:r>
        <w:tab/>
        <w:t>asking questions</w:t>
      </w:r>
    </w:p>
    <w:p w14:paraId="6F060021" w14:textId="77777777" w:rsidR="00054C80" w:rsidRDefault="00054C80" w:rsidP="000F4CE5">
      <w:pPr>
        <w:spacing w:after="120"/>
      </w:pPr>
      <w:r>
        <w:t>•</w:t>
      </w:r>
      <w:r>
        <w:tab/>
        <w:t>inspecting, authenticating, taking extracts from or making copies of documents</w:t>
      </w:r>
    </w:p>
    <w:p w14:paraId="543FDC89" w14:textId="77777777" w:rsidR="00054C80" w:rsidRDefault="00054C80" w:rsidP="000F4CE5">
      <w:pPr>
        <w:spacing w:after="120"/>
      </w:pPr>
      <w:r>
        <w:t>•</w:t>
      </w:r>
      <w:r>
        <w:tab/>
        <w:t>requiring the production of records</w:t>
      </w:r>
    </w:p>
    <w:p w14:paraId="30FC5900" w14:textId="77777777" w:rsidR="00054C80" w:rsidRDefault="00054C80" w:rsidP="000F4CE5">
      <w:pPr>
        <w:spacing w:after="120"/>
      </w:pPr>
      <w:r>
        <w:t>•</w:t>
      </w:r>
      <w:r>
        <w:tab/>
        <w:t>inspecting, examining, taking measurements or conducting tests</w:t>
      </w:r>
    </w:p>
    <w:p w14:paraId="5BEF17AF" w14:textId="77777777" w:rsidR="00054C80" w:rsidRDefault="00054C80" w:rsidP="000F4CE5">
      <w:pPr>
        <w:spacing w:after="120"/>
      </w:pPr>
      <w:r>
        <w:t>•</w:t>
      </w:r>
      <w:r>
        <w:tab/>
        <w:t>taking images or making recordings</w:t>
      </w:r>
    </w:p>
    <w:p w14:paraId="7E6C87BC" w14:textId="77777777" w:rsidR="00054C80" w:rsidRDefault="00054C80" w:rsidP="000F4CE5">
      <w:pPr>
        <w:spacing w:after="120"/>
      </w:pPr>
      <w:r>
        <w:t>•</w:t>
      </w:r>
      <w:r>
        <w:tab/>
        <w:t>examining or observing activity conducted on the premises</w:t>
      </w:r>
    </w:p>
    <w:p w14:paraId="68224760" w14:textId="134F0682" w:rsidR="008A7C29" w:rsidRDefault="00054C80" w:rsidP="000F4CE5">
      <w:pPr>
        <w:spacing w:after="120"/>
      </w:pPr>
      <w:r>
        <w:t>•</w:t>
      </w:r>
      <w:r>
        <w:tab/>
        <w:t>accessing data sources including commercial business data sets.</w:t>
      </w:r>
    </w:p>
    <w:p w14:paraId="36686A39" w14:textId="745D74F7" w:rsidR="00D70EFB" w:rsidRDefault="0D554964" w:rsidP="004954C9">
      <w:r>
        <w:t xml:space="preserve">Our </w:t>
      </w:r>
      <w:r w:rsidR="31E103FC">
        <w:t xml:space="preserve">targeting for </w:t>
      </w:r>
      <w:r w:rsidR="59EF5C1B">
        <w:t>monitoring and verification</w:t>
      </w:r>
      <w:r w:rsidR="29523A72">
        <w:t xml:space="preserve"> is </w:t>
      </w:r>
      <w:r w:rsidR="60B8FDAE">
        <w:t xml:space="preserve">risk-based and </w:t>
      </w:r>
      <w:r w:rsidR="29523A72">
        <w:t>informed by intelligence</w:t>
      </w:r>
      <w:r w:rsidR="2520C528">
        <w:t xml:space="preserve">. </w:t>
      </w:r>
      <w:r w:rsidR="25C4AD73">
        <w:t xml:space="preserve">Intelligence </w:t>
      </w:r>
      <w:r w:rsidR="59EF5C1B">
        <w:t>includes providing</w:t>
      </w:r>
      <w:r w:rsidR="30E3E7CD">
        <w:t xml:space="preserve"> tactical and operational</w:t>
      </w:r>
      <w:r w:rsidR="25C4AD73">
        <w:t xml:space="preserve"> insights </w:t>
      </w:r>
      <w:r w:rsidR="4F6D5C21">
        <w:t>into</w:t>
      </w:r>
      <w:r w:rsidR="25C4AD73">
        <w:t xml:space="preserve"> supply chain</w:t>
      </w:r>
      <w:r w:rsidR="4AFA2DB1">
        <w:t xml:space="preserve"> actors and</w:t>
      </w:r>
      <w:r w:rsidR="25C4AD73">
        <w:t xml:space="preserve"> corporate structures</w:t>
      </w:r>
      <w:r w:rsidR="4AFA2DB1">
        <w:t xml:space="preserve">. </w:t>
      </w:r>
    </w:p>
    <w:p w14:paraId="3E39C1CD" w14:textId="3D949AA9" w:rsidR="004954C9" w:rsidRDefault="41DECADD" w:rsidP="004954C9">
      <w:r>
        <w:t>Our</w:t>
      </w:r>
      <w:r w:rsidR="60B8FDAE">
        <w:t xml:space="preserve"> risk-based</w:t>
      </w:r>
      <w:r w:rsidR="7EA4BDE1">
        <w:t xml:space="preserve"> </w:t>
      </w:r>
      <w:r w:rsidR="2520C528">
        <w:t xml:space="preserve">targeting </w:t>
      </w:r>
      <w:r w:rsidR="0BDF506A">
        <w:t>ensures that</w:t>
      </w:r>
      <w:r w:rsidR="38447092">
        <w:t xml:space="preserve"> </w:t>
      </w:r>
      <w:r w:rsidR="6FD8A92B">
        <w:t>our</w:t>
      </w:r>
      <w:r w:rsidR="49ECDF5F">
        <w:t xml:space="preserve"> </w:t>
      </w:r>
      <w:r w:rsidR="38447092">
        <w:t>limited</w:t>
      </w:r>
      <w:r w:rsidR="0BDF506A">
        <w:t xml:space="preserve"> resources are focussed on those activities that </w:t>
      </w:r>
      <w:r w:rsidR="38447092">
        <w:t>detect</w:t>
      </w:r>
      <w:r w:rsidR="3B4B1FED">
        <w:t xml:space="preserve"> non-compliance</w:t>
      </w:r>
      <w:r w:rsidR="3B6CB983">
        <w:t>.</w:t>
      </w:r>
    </w:p>
    <w:p w14:paraId="2ED8EC97" w14:textId="4040E4A6" w:rsidR="0000637C" w:rsidRDefault="00C21CA5" w:rsidP="0000637C">
      <w:pPr>
        <w:pStyle w:val="Heading3"/>
      </w:pPr>
      <w:bookmarkStart w:id="26" w:name="_Toc213679838"/>
      <w:r>
        <w:lastRenderedPageBreak/>
        <w:t>R</w:t>
      </w:r>
      <w:r w:rsidR="0000637C">
        <w:t>espond to non-compliance</w:t>
      </w:r>
      <w:bookmarkEnd w:id="26"/>
      <w:r w:rsidR="0000637C">
        <w:t xml:space="preserve"> </w:t>
      </w:r>
    </w:p>
    <w:p w14:paraId="59CDE2F6" w14:textId="524D23F5" w:rsidR="00376008" w:rsidRDefault="00376008" w:rsidP="00376008">
      <w:r>
        <w:t xml:space="preserve">When non-compliance </w:t>
      </w:r>
      <w:r w:rsidR="00A168B1">
        <w:t>is</w:t>
      </w:r>
      <w:r>
        <w:t xml:space="preserve"> identified </w:t>
      </w:r>
      <w:r w:rsidR="00D67083">
        <w:t xml:space="preserve">or suspected </w:t>
      </w:r>
      <w:r>
        <w:t>through inspections and allegations, w</w:t>
      </w:r>
      <w:r w:rsidRPr="00A07182">
        <w:t xml:space="preserve">e consider factors relevant to each case </w:t>
      </w:r>
      <w:r>
        <w:t>and to the related entity.</w:t>
      </w:r>
      <w:r w:rsidRPr="00736F94">
        <w:t xml:space="preserve"> </w:t>
      </w:r>
      <w:r>
        <w:t xml:space="preserve"> We may collect further information </w:t>
      </w:r>
      <w:r w:rsidR="006C2B09">
        <w:t>to confirm or dismiss our concerns. This may include:</w:t>
      </w:r>
    </w:p>
    <w:p w14:paraId="0696F3E7" w14:textId="7B74A61D" w:rsidR="00D67083" w:rsidRDefault="00537E5A" w:rsidP="009F12FF">
      <w:pPr>
        <w:ind w:left="709" w:hanging="709"/>
      </w:pPr>
      <w:r>
        <w:t>•</w:t>
      </w:r>
      <w:r>
        <w:tab/>
      </w:r>
      <w:r w:rsidR="00D67083">
        <w:t>undertaking an intelligence assessment</w:t>
      </w:r>
    </w:p>
    <w:p w14:paraId="388AFF24" w14:textId="506730FA" w:rsidR="32C8318D" w:rsidRDefault="50FE3573" w:rsidP="7FBBA990">
      <w:pPr>
        <w:ind w:left="709" w:hanging="709"/>
      </w:pPr>
      <w:r>
        <w:t>•</w:t>
      </w:r>
      <w:r w:rsidR="32C8318D">
        <w:tab/>
      </w:r>
      <w:r w:rsidR="380A3ABF">
        <w:t>conducting additional inspections or audits</w:t>
      </w:r>
    </w:p>
    <w:p w14:paraId="344BC4BE" w14:textId="14371E83" w:rsidR="32C8318D" w:rsidRDefault="7FBBA990" w:rsidP="7FBBA990">
      <w:pPr>
        <w:ind w:left="709" w:hanging="709"/>
      </w:pPr>
      <w:r>
        <w:t>•</w:t>
      </w:r>
      <w:r w:rsidR="32C8318D">
        <w:tab/>
      </w:r>
      <w:r>
        <w:t>Issuing coercive notices (</w:t>
      </w:r>
      <w:r w:rsidR="51E6FF83">
        <w:t>such as requiring a person to</w:t>
      </w:r>
      <w:r>
        <w:t xml:space="preserve"> give information to </w:t>
      </w:r>
      <w:r w:rsidR="59420B78">
        <w:t xml:space="preserve">a </w:t>
      </w:r>
      <w:r>
        <w:t>WELS inspector</w:t>
      </w:r>
      <w:r w:rsidR="7C2C90EC">
        <w:t>)</w:t>
      </w:r>
    </w:p>
    <w:p w14:paraId="0406D746" w14:textId="28BCFD63" w:rsidR="00537E5A" w:rsidRDefault="00537E5A" w:rsidP="00572B83">
      <w:pPr>
        <w:ind w:left="709" w:hanging="709"/>
      </w:pPr>
      <w:r>
        <w:t>•</w:t>
      </w:r>
      <w:r>
        <w:tab/>
        <w:t xml:space="preserve">undertaking investigations </w:t>
      </w:r>
      <w:r w:rsidR="00572B83">
        <w:t xml:space="preserve">in accordance with the </w:t>
      </w:r>
      <w:hyperlink r:id="rId19" w:history="1">
        <w:r w:rsidR="00572B83" w:rsidRPr="00747144">
          <w:rPr>
            <w:rStyle w:val="Hyperlink"/>
            <w:i/>
            <w:iCs/>
          </w:rPr>
          <w:t>Australian Government Investigations Standards</w:t>
        </w:r>
      </w:hyperlink>
    </w:p>
    <w:p w14:paraId="3CA60799" w14:textId="55DA0DB0" w:rsidR="00537E5A" w:rsidRDefault="00537E5A" w:rsidP="00E9406E">
      <w:pPr>
        <w:ind w:left="709" w:hanging="709"/>
      </w:pPr>
      <w:r>
        <w:t>•</w:t>
      </w:r>
      <w:r>
        <w:tab/>
        <w:t>conducting targeted operations such as multi-agency investigations, intelligence gathering, surveillance activities and a range of law enforcement actions</w:t>
      </w:r>
    </w:p>
    <w:p w14:paraId="487E51E5" w14:textId="77777777" w:rsidR="00537E5A" w:rsidRDefault="00537E5A" w:rsidP="00537E5A">
      <w:r>
        <w:t>•</w:t>
      </w:r>
      <w:r>
        <w:tab/>
        <w:t>using experts</w:t>
      </w:r>
    </w:p>
    <w:p w14:paraId="3FBB9337" w14:textId="3118ABD0" w:rsidR="00995FB4" w:rsidRDefault="00537E5A" w:rsidP="00537E5A">
      <w:r>
        <w:t>•</w:t>
      </w:r>
      <w:r>
        <w:tab/>
        <w:t>searching premises under warrant.</w:t>
      </w:r>
    </w:p>
    <w:p w14:paraId="5141772D" w14:textId="6DC8E5EA" w:rsidR="00C832DD" w:rsidRDefault="00C832DD" w:rsidP="00537E5A">
      <w:r>
        <w:t xml:space="preserve">Once the initial assessment is complete, we respond to non-compliance </w:t>
      </w:r>
      <w:r w:rsidR="00AE443C">
        <w:t xml:space="preserve">by providing educational support about how to comply, </w:t>
      </w:r>
      <w:r w:rsidR="0078781C">
        <w:t>undertaking administrative actions</w:t>
      </w:r>
      <w:r w:rsidR="00064E99">
        <w:t>,</w:t>
      </w:r>
      <w:r>
        <w:t xml:space="preserve"> pursuing civil </w:t>
      </w:r>
      <w:r w:rsidR="00064E99">
        <w:t xml:space="preserve">penalties </w:t>
      </w:r>
      <w:r>
        <w:t>and</w:t>
      </w:r>
      <w:r w:rsidR="00064E99">
        <w:t xml:space="preserve">/or </w:t>
      </w:r>
      <w:r>
        <w:t>criminal sanctions.</w:t>
      </w:r>
    </w:p>
    <w:p w14:paraId="3AD63D5F" w14:textId="67A96E6F" w:rsidR="004B5A9D" w:rsidRDefault="007A47A3" w:rsidP="0000637C">
      <w:pPr>
        <w:pStyle w:val="Heading4"/>
      </w:pPr>
      <w:r>
        <w:t xml:space="preserve">Provide educational support about how to comply </w:t>
      </w:r>
    </w:p>
    <w:p w14:paraId="7F8D6299" w14:textId="6476B3E1" w:rsidR="006C6ECA" w:rsidRDefault="00736F94" w:rsidP="0000637C">
      <w:r>
        <w:t xml:space="preserve">Except for </w:t>
      </w:r>
      <w:r w:rsidR="00226790">
        <w:t xml:space="preserve">where there is </w:t>
      </w:r>
      <w:r>
        <w:t xml:space="preserve">suspected </w:t>
      </w:r>
      <w:r w:rsidR="00585D1C">
        <w:t xml:space="preserve">criminal activity </w:t>
      </w:r>
      <w:r w:rsidR="008302A6">
        <w:t>(such as fraud)</w:t>
      </w:r>
      <w:r>
        <w:t xml:space="preserve"> or </w:t>
      </w:r>
      <w:r w:rsidR="008302A6">
        <w:t xml:space="preserve">where there is </w:t>
      </w:r>
      <w:r>
        <w:t>recidivis</w:t>
      </w:r>
      <w:r w:rsidR="00112A6A">
        <w:t>m</w:t>
      </w:r>
      <w:r>
        <w:t>, entities will be provided with educational support and advice about how to comply and provided with an opportunity to respond and to correct their non-compliance.</w:t>
      </w:r>
      <w:r w:rsidR="003D73DC">
        <w:t xml:space="preserve"> </w:t>
      </w:r>
      <w:r w:rsidR="002E7EF9">
        <w:t>Providing information and an opportunity to respond supports p</w:t>
      </w:r>
      <w:r w:rsidR="003D73DC">
        <w:t>rocedural fairness an</w:t>
      </w:r>
      <w:r w:rsidR="004A3504">
        <w:t>d</w:t>
      </w:r>
      <w:r w:rsidR="003D73DC">
        <w:t xml:space="preserve"> natural justice</w:t>
      </w:r>
      <w:r w:rsidR="002E7EF9">
        <w:t xml:space="preserve"> for regulated entities</w:t>
      </w:r>
      <w:r w:rsidR="003D73DC">
        <w:t>.</w:t>
      </w:r>
    </w:p>
    <w:p w14:paraId="77606202" w14:textId="2FCB5A19" w:rsidR="00371085" w:rsidRDefault="1C314032" w:rsidP="0000637C">
      <w:r>
        <w:t xml:space="preserve">For suppliers of WELS products using e-commerce platforms, we will communicate primarily via platform messaging systems where available. The non-compliant sellers will be given time to correct any non-compliance and to communicate with the WELS Regulator about their circumstances. </w:t>
      </w:r>
    </w:p>
    <w:p w14:paraId="642067E4" w14:textId="78011DF5" w:rsidR="007A47A3" w:rsidRDefault="00EB3166" w:rsidP="0000637C">
      <w:r>
        <w:t>W</w:t>
      </w:r>
      <w:r w:rsidR="00AE69A6">
        <w:t xml:space="preserve">e will </w:t>
      </w:r>
      <w:r>
        <w:t xml:space="preserve">reassess the entity’s efforts to become compliant and consider their </w:t>
      </w:r>
      <w:r w:rsidR="00080BA3">
        <w:t xml:space="preserve">attitude and </w:t>
      </w:r>
      <w:r>
        <w:t>behaviour</w:t>
      </w:r>
      <w:r w:rsidR="00080BA3">
        <w:t xml:space="preserve"> in how they choose to respond. We </w:t>
      </w:r>
      <w:r w:rsidR="007C45EB">
        <w:t xml:space="preserve">will take mitigating factors into account to ensure a reasonable approach </w:t>
      </w:r>
      <w:r w:rsidR="00406D26">
        <w:t xml:space="preserve">is taken </w:t>
      </w:r>
      <w:r w:rsidR="00287F78">
        <w:t>when setting or revising</w:t>
      </w:r>
      <w:r w:rsidR="00406D26">
        <w:t xml:space="preserve"> expected timeframes for compliance.</w:t>
      </w:r>
    </w:p>
    <w:p w14:paraId="7D748A33" w14:textId="77777777" w:rsidR="00A61748" w:rsidRDefault="00A61748" w:rsidP="00A61748">
      <w:pPr>
        <w:pStyle w:val="Heading4"/>
      </w:pPr>
      <w:r>
        <w:t>Undertake a</w:t>
      </w:r>
      <w:r w:rsidRPr="00496013">
        <w:t>dministrative</w:t>
      </w:r>
      <w:r>
        <w:t xml:space="preserve"> actions</w:t>
      </w:r>
    </w:p>
    <w:p w14:paraId="1672D709" w14:textId="7105B474" w:rsidR="007152FB" w:rsidRDefault="00934908" w:rsidP="0000637C">
      <w:r>
        <w:t xml:space="preserve">Where an entity has demonstrated an unwillingness to comply </w:t>
      </w:r>
      <w:r w:rsidR="00B705DB">
        <w:t>or to make all reasonable efforts</w:t>
      </w:r>
      <w:r w:rsidR="008F525F">
        <w:t xml:space="preserve"> to comply, </w:t>
      </w:r>
      <w:r w:rsidR="00065CFC">
        <w:t xml:space="preserve">further </w:t>
      </w:r>
      <w:r w:rsidR="006F4FD8">
        <w:t xml:space="preserve">consideration will be given to </w:t>
      </w:r>
      <w:r w:rsidR="00D03144">
        <w:t>cas</w:t>
      </w:r>
      <w:r w:rsidR="00065CFC">
        <w:t xml:space="preserve">e-specific factors </w:t>
      </w:r>
      <w:r w:rsidR="001C29C4">
        <w:t>of the non-compliance</w:t>
      </w:r>
      <w:r w:rsidR="00065CFC">
        <w:t xml:space="preserve"> to determine a course of action</w:t>
      </w:r>
      <w:r w:rsidR="001C29C4">
        <w:t xml:space="preserve">. </w:t>
      </w:r>
      <w:r w:rsidR="008F525F">
        <w:t xml:space="preserve"> </w:t>
      </w:r>
      <w:r w:rsidR="001C29C4">
        <w:t>Th</w:t>
      </w:r>
      <w:r w:rsidR="00F84A47">
        <w:t>e factors include, but are not limited to, the number and types of non</w:t>
      </w:r>
      <w:r w:rsidR="00DF3FE5">
        <w:t>-</w:t>
      </w:r>
      <w:r w:rsidR="00F84A47">
        <w:t xml:space="preserve">compliance, </w:t>
      </w:r>
      <w:r w:rsidR="00C54872">
        <w:t xml:space="preserve">the potential impact of </w:t>
      </w:r>
      <w:r w:rsidR="0091740B">
        <w:t xml:space="preserve">the entity </w:t>
      </w:r>
      <w:r w:rsidR="00C54872">
        <w:t xml:space="preserve">in the market, </w:t>
      </w:r>
      <w:r w:rsidR="005E08F6">
        <w:t>the entity’s attitude and behaviour</w:t>
      </w:r>
      <w:r w:rsidR="00D7421B">
        <w:t xml:space="preserve"> in engaging with the WELS Regulator, </w:t>
      </w:r>
      <w:r w:rsidR="005E08F6">
        <w:t>and their compliance history.</w:t>
      </w:r>
    </w:p>
    <w:p w14:paraId="4E3AD2E6" w14:textId="7E075D47" w:rsidR="0055621C" w:rsidRDefault="7B9534C1" w:rsidP="0055621C">
      <w:r>
        <w:lastRenderedPageBreak/>
        <w:t xml:space="preserve">The </w:t>
      </w:r>
      <w:r w:rsidR="118F150B">
        <w:t xml:space="preserve">WELS </w:t>
      </w:r>
      <w:r>
        <w:t xml:space="preserve">Regulator may </w:t>
      </w:r>
      <w:r w:rsidR="706A9EFE">
        <w:t xml:space="preserve">offer or </w:t>
      </w:r>
      <w:r w:rsidR="799043A9">
        <w:t>require</w:t>
      </w:r>
      <w:r>
        <w:t xml:space="preserve"> </w:t>
      </w:r>
      <w:r w:rsidR="6010DBAD">
        <w:t>a range of actions</w:t>
      </w:r>
      <w:r w:rsidR="044AA164">
        <w:t xml:space="preserve"> which are </w:t>
      </w:r>
      <w:r w:rsidR="28C693CA">
        <w:t xml:space="preserve">enforceable by </w:t>
      </w:r>
      <w:r w:rsidR="7BB6AA3C">
        <w:t>the</w:t>
      </w:r>
      <w:r w:rsidR="28C693CA">
        <w:t xml:space="preserve"> Federal </w:t>
      </w:r>
      <w:r w:rsidR="06A14475">
        <w:t>Court</w:t>
      </w:r>
      <w:r w:rsidR="6010DBAD">
        <w:t>.</w:t>
      </w:r>
    </w:p>
    <w:p w14:paraId="03A88042" w14:textId="51D9AA4F" w:rsidR="00FB3599" w:rsidRDefault="00FB3599" w:rsidP="00287883">
      <w:pPr>
        <w:pStyle w:val="ListBullet"/>
        <w:numPr>
          <w:ilvl w:val="0"/>
          <w:numId w:val="0"/>
        </w:numPr>
      </w:pPr>
      <w:proofErr w:type="gramStart"/>
      <w:r>
        <w:rPr>
          <w:b/>
          <w:bCs/>
        </w:rPr>
        <w:t>E</w:t>
      </w:r>
      <w:r w:rsidR="00930D8A">
        <w:rPr>
          <w:b/>
          <w:bCs/>
        </w:rPr>
        <w:t>nter into</w:t>
      </w:r>
      <w:proofErr w:type="gramEnd"/>
      <w:r w:rsidR="00930D8A">
        <w:rPr>
          <w:b/>
          <w:bCs/>
        </w:rPr>
        <w:t xml:space="preserve"> </w:t>
      </w:r>
      <w:r w:rsidR="00A54AE2">
        <w:rPr>
          <w:b/>
          <w:bCs/>
        </w:rPr>
        <w:t xml:space="preserve">an </w:t>
      </w:r>
      <w:r w:rsidR="00930D8A" w:rsidRPr="00E54D8F">
        <w:rPr>
          <w:b/>
          <w:bCs/>
        </w:rPr>
        <w:t>enforceable undertaking</w:t>
      </w:r>
    </w:p>
    <w:p w14:paraId="24B1BAF0" w14:textId="481BE63B" w:rsidR="00E45E10" w:rsidRDefault="6010DBAD" w:rsidP="00287883">
      <w:pPr>
        <w:pStyle w:val="ListBullet"/>
        <w:numPr>
          <w:ilvl w:val="0"/>
          <w:numId w:val="0"/>
        </w:numPr>
      </w:pPr>
      <w:r>
        <w:t>The WELS Regulator</w:t>
      </w:r>
      <w:r w:rsidRPr="7FBBA990">
        <w:rPr>
          <w:b/>
          <w:bCs/>
        </w:rPr>
        <w:t xml:space="preserve"> </w:t>
      </w:r>
      <w:r w:rsidR="21F19240">
        <w:t xml:space="preserve">can accept an enforceable undertaking that has been voluntarily offered by a regulated entity, under which they offer to take specified action to comply with a legislative provision and to refrain from taking specified non-compliant action to ensure future compliance. Enforceable undertakings can be used to minimise, reduce or eliminate the risk of harm occurring </w:t>
      </w:r>
      <w:proofErr w:type="gramStart"/>
      <w:r w:rsidR="21F19240">
        <w:t>as a result of</w:t>
      </w:r>
      <w:proofErr w:type="gramEnd"/>
      <w:r w:rsidR="21F19240">
        <w:t xml:space="preserve"> a regulated entity’s non-compliant behaviour. We will monitor undertakings to ensure the agreed action occurs. The undertaking is a legally binding agreement that can be enforced by </w:t>
      </w:r>
      <w:r w:rsidR="10F5646F">
        <w:t>the Federal C</w:t>
      </w:r>
      <w:r w:rsidR="21F19240">
        <w:t>ourt.</w:t>
      </w:r>
    </w:p>
    <w:p w14:paraId="3FC5E50E" w14:textId="0B32481A" w:rsidR="00930D8A" w:rsidRDefault="00A54AE2" w:rsidP="00287883">
      <w:pPr>
        <w:pStyle w:val="ListBullet"/>
        <w:numPr>
          <w:ilvl w:val="0"/>
          <w:numId w:val="0"/>
        </w:numPr>
      </w:pPr>
      <w:r>
        <w:t xml:space="preserve">The benefit to the </w:t>
      </w:r>
      <w:r w:rsidR="00262E0C">
        <w:t xml:space="preserve">entity in committing to an enforceable undertaking is that they can take greater </w:t>
      </w:r>
      <w:r w:rsidR="00B837AC">
        <w:t xml:space="preserve">responsibility to commit to become compliant. </w:t>
      </w:r>
    </w:p>
    <w:p w14:paraId="1C8C35A9" w14:textId="77777777" w:rsidR="00FB3599" w:rsidRDefault="00F3594F" w:rsidP="00287883">
      <w:pPr>
        <w:pStyle w:val="ListBullet"/>
        <w:numPr>
          <w:ilvl w:val="0"/>
          <w:numId w:val="0"/>
        </w:numPr>
      </w:pPr>
      <w:r>
        <w:rPr>
          <w:b/>
          <w:bCs/>
        </w:rPr>
        <w:t xml:space="preserve">Require a mandatory </w:t>
      </w:r>
      <w:r w:rsidR="0055621C" w:rsidRPr="00E54D8F">
        <w:rPr>
          <w:b/>
          <w:bCs/>
        </w:rPr>
        <w:t>compliance audit</w:t>
      </w:r>
    </w:p>
    <w:p w14:paraId="41B9B34C" w14:textId="1FCF53E2" w:rsidR="0055621C" w:rsidRDefault="420566C1" w:rsidP="00287883">
      <w:pPr>
        <w:pStyle w:val="ListBullet"/>
        <w:numPr>
          <w:ilvl w:val="0"/>
          <w:numId w:val="0"/>
        </w:numPr>
      </w:pPr>
      <w:r>
        <w:t>These can be issued through</w:t>
      </w:r>
      <w:r w:rsidR="7B9534C1">
        <w:t xml:space="preserve"> a notice requiring a</w:t>
      </w:r>
      <w:r w:rsidR="70D56CF0">
        <w:t>n entity</w:t>
      </w:r>
      <w:r w:rsidR="7B9534C1">
        <w:t xml:space="preserve"> to undertake an audit to confirm their compliance with the WELS Act and to provide a written report setting out the results of the audit</w:t>
      </w:r>
      <w:r w:rsidR="44FE80A0">
        <w:t>. These can require that the</w:t>
      </w:r>
      <w:r w:rsidR="6A009202">
        <w:t xml:space="preserve"> </w:t>
      </w:r>
      <w:r w:rsidR="70D56CF0">
        <w:t>entity</w:t>
      </w:r>
      <w:r w:rsidR="44FE80A0">
        <w:t xml:space="preserve"> be requi</w:t>
      </w:r>
      <w:r w:rsidR="435B40A5">
        <w:t>red to pay a third party to independently conduct and report on the audit.</w:t>
      </w:r>
      <w:r w:rsidR="0E7B8726">
        <w:t xml:space="preserve"> </w:t>
      </w:r>
      <w:proofErr w:type="gramStart"/>
      <w:r w:rsidR="0E7B8726">
        <w:t>Typically</w:t>
      </w:r>
      <w:proofErr w:type="gramEnd"/>
      <w:r w:rsidR="0E7B8726">
        <w:t xml:space="preserve"> th</w:t>
      </w:r>
      <w:r w:rsidR="49BCA698">
        <w:t>e audit</w:t>
      </w:r>
      <w:r w:rsidR="0E7B8726">
        <w:t xml:space="preserve"> would be of websites and any retail outlets.</w:t>
      </w:r>
    </w:p>
    <w:p w14:paraId="6B253EEF" w14:textId="34465050" w:rsidR="004E4C88" w:rsidRDefault="00BB1228" w:rsidP="00287883">
      <w:pPr>
        <w:pStyle w:val="ListBullet"/>
        <w:numPr>
          <w:ilvl w:val="0"/>
          <w:numId w:val="0"/>
        </w:numPr>
        <w:ind w:left="425" w:hanging="425"/>
      </w:pPr>
      <w:r>
        <w:rPr>
          <w:b/>
          <w:bCs/>
        </w:rPr>
        <w:t xml:space="preserve">Require </w:t>
      </w:r>
      <w:r w:rsidR="00ED3CCB">
        <w:rPr>
          <w:b/>
          <w:bCs/>
        </w:rPr>
        <w:t xml:space="preserve">mandatory </w:t>
      </w:r>
      <w:r w:rsidR="0055621C" w:rsidRPr="00E54D8F">
        <w:rPr>
          <w:b/>
          <w:bCs/>
        </w:rPr>
        <w:t>remedial action</w:t>
      </w:r>
    </w:p>
    <w:p w14:paraId="0C203A1D" w14:textId="3BD537A3" w:rsidR="0055621C" w:rsidRDefault="2E9FD693" w:rsidP="00287883">
      <w:pPr>
        <w:pStyle w:val="ListBullet"/>
        <w:numPr>
          <w:ilvl w:val="0"/>
          <w:numId w:val="0"/>
        </w:numPr>
      </w:pPr>
      <w:r>
        <w:t xml:space="preserve">Remedial action may be required through issuing </w:t>
      </w:r>
      <w:r w:rsidR="7B9534C1">
        <w:t>a notice requiring a</w:t>
      </w:r>
      <w:r w:rsidR="70D56CF0">
        <w:t>n</w:t>
      </w:r>
      <w:r w:rsidR="7B9534C1">
        <w:t xml:space="preserve"> </w:t>
      </w:r>
      <w:r>
        <w:t>entity</w:t>
      </w:r>
      <w:r w:rsidR="7B9534C1">
        <w:t xml:space="preserve"> to take action to remedy non</w:t>
      </w:r>
      <w:r w:rsidR="5F96F2B5">
        <w:t>-</w:t>
      </w:r>
      <w:r w:rsidR="7B9534C1">
        <w:t>compliant behaviour or prevent it in the future</w:t>
      </w:r>
      <w:r w:rsidR="3940EBAD">
        <w:t>. Th</w:t>
      </w:r>
      <w:r w:rsidR="483A8DFC">
        <w:t>is notice may</w:t>
      </w:r>
      <w:r w:rsidR="3940EBAD">
        <w:t xml:space="preserve"> follow a mandatory compliance audit if the entity did not </w:t>
      </w:r>
      <w:r w:rsidR="03ED88DF">
        <w:t xml:space="preserve">voluntarily </w:t>
      </w:r>
      <w:r w:rsidR="3940EBAD">
        <w:t xml:space="preserve">correct </w:t>
      </w:r>
      <w:r w:rsidR="03ED88DF">
        <w:t>any</w:t>
      </w:r>
      <w:r w:rsidR="3940EBAD">
        <w:t xml:space="preserve"> </w:t>
      </w:r>
      <w:r w:rsidR="03ED88DF">
        <w:t>non-compliance found.</w:t>
      </w:r>
    </w:p>
    <w:p w14:paraId="79ACCB23" w14:textId="1FA59D93" w:rsidR="00794A25" w:rsidRPr="00794A25" w:rsidRDefault="04F83CB0" w:rsidP="00371085">
      <w:pPr>
        <w:rPr>
          <w:b/>
          <w:bCs/>
        </w:rPr>
      </w:pPr>
      <w:r w:rsidRPr="7FBBA990">
        <w:rPr>
          <w:b/>
          <w:bCs/>
        </w:rPr>
        <w:t>Restrict product listings</w:t>
      </w:r>
      <w:r w:rsidR="565CAC56" w:rsidRPr="7FBBA990">
        <w:rPr>
          <w:b/>
          <w:bCs/>
        </w:rPr>
        <w:t xml:space="preserve"> and user accounts</w:t>
      </w:r>
      <w:r w:rsidRPr="7FBBA990">
        <w:rPr>
          <w:b/>
          <w:bCs/>
        </w:rPr>
        <w:t xml:space="preserve"> on marketplace platforms</w:t>
      </w:r>
    </w:p>
    <w:p w14:paraId="40816FFF" w14:textId="42EF8421" w:rsidR="00371085" w:rsidRDefault="00231506" w:rsidP="00371085">
      <w:r>
        <w:t>For suppliers of WELS products using e-commerce platforms</w:t>
      </w:r>
      <w:r w:rsidR="00DB6CC5">
        <w:t xml:space="preserve"> who do not correct their listings, where available, we will remove product listings </w:t>
      </w:r>
      <w:r w:rsidR="00133E18">
        <w:t xml:space="preserve">or seek actions from the platform administrator to </w:t>
      </w:r>
      <w:r w:rsidR="00520EE8">
        <w:t xml:space="preserve">limit their capacity to </w:t>
      </w:r>
      <w:r w:rsidR="007372DA">
        <w:t>offer WELS products until they can demonstrate compliance.</w:t>
      </w:r>
      <w:r w:rsidR="007372DA" w:rsidRPr="007372DA">
        <w:t xml:space="preserve"> </w:t>
      </w:r>
    </w:p>
    <w:p w14:paraId="426EB06E" w14:textId="4A802254" w:rsidR="0DD8D20A" w:rsidRDefault="0DD8D20A">
      <w:r>
        <w:t>The e-commerce provider may apply their own measures to manage non</w:t>
      </w:r>
      <w:r w:rsidR="79361AF4">
        <w:t>-</w:t>
      </w:r>
      <w:r>
        <w:t>compliance in addition to the WELS Regulator’s sanctions. For example, if a seller breaches e</w:t>
      </w:r>
      <w:r w:rsidR="6FAB722A">
        <w:t>-</w:t>
      </w:r>
      <w:r>
        <w:t xml:space="preserve">commerce platform policies, a seller’s account may be restricted or disabled. </w:t>
      </w:r>
    </w:p>
    <w:p w14:paraId="37483FD1" w14:textId="2E2C60FC" w:rsidR="00794A25" w:rsidRPr="00794A25" w:rsidRDefault="00794A25" w:rsidP="007372DA">
      <w:pPr>
        <w:rPr>
          <w:b/>
          <w:bCs/>
        </w:rPr>
      </w:pPr>
      <w:r>
        <w:rPr>
          <w:b/>
          <w:bCs/>
        </w:rPr>
        <w:t xml:space="preserve">Issue </w:t>
      </w:r>
      <w:r w:rsidR="00787808">
        <w:rPr>
          <w:b/>
          <w:bCs/>
        </w:rPr>
        <w:t xml:space="preserve">an </w:t>
      </w:r>
      <w:r>
        <w:rPr>
          <w:b/>
          <w:bCs/>
        </w:rPr>
        <w:t>i</w:t>
      </w:r>
      <w:r w:rsidRPr="00794A25">
        <w:rPr>
          <w:b/>
          <w:bCs/>
        </w:rPr>
        <w:t>nfringement</w:t>
      </w:r>
    </w:p>
    <w:p w14:paraId="379DFD79" w14:textId="7B92CCE4" w:rsidR="00EE1C51" w:rsidRDefault="00EE1C51" w:rsidP="00EE1C51">
      <w:r>
        <w:t xml:space="preserve">The WELS Regulator may also </w:t>
      </w:r>
      <w:r w:rsidR="006D5708" w:rsidRPr="00794A25">
        <w:t xml:space="preserve">issue </w:t>
      </w:r>
      <w:r w:rsidR="00034663" w:rsidRPr="00794A25">
        <w:t>an i</w:t>
      </w:r>
      <w:r w:rsidR="002C4CD3" w:rsidRPr="00794A25">
        <w:t xml:space="preserve">nfringement </w:t>
      </w:r>
      <w:r w:rsidRPr="00794A25">
        <w:t>notice</w:t>
      </w:r>
      <w:r>
        <w:t xml:space="preserve"> requiring a</w:t>
      </w:r>
      <w:r w:rsidR="00A96547">
        <w:t>n entity</w:t>
      </w:r>
      <w:r>
        <w:t xml:space="preserve"> to pay a penalty for a breach as an alternative to prosecution or a civil penalty order issued through a court. Refer to the WELS</w:t>
      </w:r>
      <w:r w:rsidRPr="0077480D">
        <w:t xml:space="preserve"> </w:t>
      </w:r>
      <w:hyperlink r:id="rId20" w:history="1">
        <w:r w:rsidRPr="00CA2200">
          <w:rPr>
            <w:rStyle w:val="Hyperlink"/>
          </w:rPr>
          <w:t>Infringement Notice Statement</w:t>
        </w:r>
      </w:hyperlink>
      <w:r>
        <w:rPr>
          <w:rStyle w:val="Hyperlink"/>
        </w:rPr>
        <w:t xml:space="preserve"> for more information.</w:t>
      </w:r>
    </w:p>
    <w:p w14:paraId="3F189659" w14:textId="168D5507" w:rsidR="002D13C1" w:rsidRDefault="002D13C1" w:rsidP="002D13C1">
      <w:pPr>
        <w:pStyle w:val="ListBullet"/>
        <w:numPr>
          <w:ilvl w:val="0"/>
          <w:numId w:val="0"/>
        </w:numPr>
      </w:pPr>
      <w:r>
        <w:t>Payment of the infringement notice will typically discharge any liability for the alleged contravention.</w:t>
      </w:r>
      <w:r w:rsidR="0067153E">
        <w:t xml:space="preserve"> If</w:t>
      </w:r>
      <w:r w:rsidR="00E95875">
        <w:t xml:space="preserve"> </w:t>
      </w:r>
      <w:r w:rsidR="0067153E">
        <w:t xml:space="preserve">payment does not occur, the WELS Regulator may progress to </w:t>
      </w:r>
      <w:r w:rsidR="00E95875">
        <w:t xml:space="preserve">civil proceedings. </w:t>
      </w:r>
    </w:p>
    <w:p w14:paraId="5D20E5D5" w14:textId="3497434E" w:rsidR="002E4D42" w:rsidRPr="002E4D42" w:rsidRDefault="00D838F6" w:rsidP="002D13C1">
      <w:pPr>
        <w:pStyle w:val="ListBullet"/>
        <w:numPr>
          <w:ilvl w:val="0"/>
          <w:numId w:val="0"/>
        </w:numPr>
        <w:rPr>
          <w:b/>
          <w:bCs/>
        </w:rPr>
      </w:pPr>
      <w:r>
        <w:rPr>
          <w:b/>
          <w:bCs/>
        </w:rPr>
        <w:t>Seek a court</w:t>
      </w:r>
      <w:r w:rsidR="00787808">
        <w:rPr>
          <w:b/>
          <w:bCs/>
        </w:rPr>
        <w:t>-</w:t>
      </w:r>
      <w:r>
        <w:rPr>
          <w:b/>
          <w:bCs/>
        </w:rPr>
        <w:t>imposed i</w:t>
      </w:r>
      <w:r w:rsidR="002E4D42" w:rsidRPr="002E4D42">
        <w:rPr>
          <w:b/>
          <w:bCs/>
        </w:rPr>
        <w:t>njunction</w:t>
      </w:r>
    </w:p>
    <w:p w14:paraId="64B8DC47" w14:textId="52CC535E" w:rsidR="000F4CE5" w:rsidRDefault="06D0B2DA" w:rsidP="000F4CE5">
      <w:pPr>
        <w:pStyle w:val="ListBullet"/>
        <w:numPr>
          <w:ilvl w:val="0"/>
          <w:numId w:val="0"/>
        </w:numPr>
        <w:ind w:firstLine="1"/>
      </w:pPr>
      <w:r>
        <w:t>The WELS Regulator may apply for a court</w:t>
      </w:r>
      <w:r w:rsidR="4344A4B3">
        <w:t>-</w:t>
      </w:r>
      <w:r>
        <w:t xml:space="preserve">imposed </w:t>
      </w:r>
      <w:r w:rsidR="774156E2">
        <w:t>injunction</w:t>
      </w:r>
      <w:r w:rsidR="0EF3C570">
        <w:t xml:space="preserve"> through the </w:t>
      </w:r>
      <w:r w:rsidR="3D9CE8B0">
        <w:t>Federal Court</w:t>
      </w:r>
      <w:r w:rsidR="0EF3C570">
        <w:t>. The</w:t>
      </w:r>
      <w:r w:rsidR="3D9CE8B0">
        <w:t xml:space="preserve"> </w:t>
      </w:r>
      <w:r w:rsidR="774156E2">
        <w:t>court order stop</w:t>
      </w:r>
      <w:r w:rsidR="51B4C8A3">
        <w:t>s</w:t>
      </w:r>
      <w:r w:rsidR="774156E2">
        <w:t xml:space="preserve"> an entity from </w:t>
      </w:r>
      <w:r w:rsidR="525F72D9">
        <w:t>engaging in conduct</w:t>
      </w:r>
      <w:r w:rsidR="774156E2">
        <w:t xml:space="preserve"> or requir</w:t>
      </w:r>
      <w:r w:rsidR="4BDC0138">
        <w:t>e</w:t>
      </w:r>
      <w:r w:rsidR="774156E2">
        <w:t xml:space="preserve"> a</w:t>
      </w:r>
      <w:r w:rsidR="70D56CF0">
        <w:t>n entity</w:t>
      </w:r>
      <w:r w:rsidR="774156E2">
        <w:t xml:space="preserve"> to </w:t>
      </w:r>
      <w:r w:rsidR="7CBA8DD3">
        <w:t>do an act or thing</w:t>
      </w:r>
      <w:r w:rsidR="4B1BC6B9">
        <w:t xml:space="preserve">. </w:t>
      </w:r>
    </w:p>
    <w:p w14:paraId="5DAB204D" w14:textId="4A355E24" w:rsidR="00473EEA" w:rsidRDefault="00473EEA" w:rsidP="00473EEA">
      <w:pPr>
        <w:pStyle w:val="Heading4"/>
      </w:pPr>
      <w:r>
        <w:lastRenderedPageBreak/>
        <w:t xml:space="preserve">Pursue civil </w:t>
      </w:r>
      <w:r w:rsidR="00BE3507">
        <w:t>penalt</w:t>
      </w:r>
      <w:r w:rsidR="00064E99">
        <w:t xml:space="preserve">ies </w:t>
      </w:r>
      <w:r>
        <w:t xml:space="preserve">and criminal </w:t>
      </w:r>
      <w:r w:rsidR="0078781C">
        <w:t>sanctions</w:t>
      </w:r>
    </w:p>
    <w:p w14:paraId="52434EF3" w14:textId="77777777" w:rsidR="000333F3" w:rsidRDefault="000333F3" w:rsidP="000333F3">
      <w:r>
        <w:t xml:space="preserve">We may escalate to enforcement actions where our initial administrative action did not achieve compliance. Depending on the seriousness of the breach and culpability of the regulated entity, we may use enforcement measures to bring about compliance. </w:t>
      </w:r>
    </w:p>
    <w:p w14:paraId="6D6D56A1" w14:textId="2E01BE17" w:rsidR="0063191E" w:rsidRPr="0063191E" w:rsidRDefault="0063191E" w:rsidP="0063191E">
      <w:pPr>
        <w:rPr>
          <w:b/>
          <w:bCs/>
        </w:rPr>
      </w:pPr>
      <w:r w:rsidRPr="0063191E">
        <w:rPr>
          <w:b/>
          <w:bCs/>
        </w:rPr>
        <w:t xml:space="preserve">Civil </w:t>
      </w:r>
      <w:r w:rsidR="00BE3507">
        <w:rPr>
          <w:b/>
          <w:bCs/>
        </w:rPr>
        <w:t>penalt</w:t>
      </w:r>
      <w:r w:rsidR="009D0B3B">
        <w:rPr>
          <w:b/>
          <w:bCs/>
        </w:rPr>
        <w:t>ies</w:t>
      </w:r>
    </w:p>
    <w:p w14:paraId="16A141C5" w14:textId="77E09307" w:rsidR="0063191E" w:rsidRDefault="73BB2F3F" w:rsidP="0063191E">
      <w:r>
        <w:t xml:space="preserve">We can commence civil penalty proceedings against a regulated entity seeking an order requiring them to pay a financial penalty for breaching a civil penalty provision under </w:t>
      </w:r>
      <w:r w:rsidR="11A50C68">
        <w:t>the WELS Act</w:t>
      </w:r>
      <w:r>
        <w:t>. A civil penalty imposed by a court is a debt owed to the Commonwealth. The court has extensive powers available to ensure such debts are paid.</w:t>
      </w:r>
    </w:p>
    <w:p w14:paraId="473235BC" w14:textId="2F58BAE8" w:rsidR="00F81E2A" w:rsidRDefault="2BAD6E0E" w:rsidP="00F81E2A">
      <w:r>
        <w:t>We can commence civil penalty proceedings either as a standalone action or following non-payment of a</w:t>
      </w:r>
      <w:r w:rsidR="678873E6">
        <w:t>n</w:t>
      </w:r>
      <w:r>
        <w:t xml:space="preserve"> infringement notice. A civil penalty amount can substantially exceed an infringement notice amount for the same contravention.</w:t>
      </w:r>
    </w:p>
    <w:p w14:paraId="02771350" w14:textId="5C6A7882" w:rsidR="00D638B0" w:rsidRDefault="2BAD6E0E" w:rsidP="00F81E2A">
      <w:pPr>
        <w:pStyle w:val="ListBullet"/>
        <w:numPr>
          <w:ilvl w:val="0"/>
          <w:numId w:val="0"/>
        </w:numPr>
      </w:pPr>
      <w:r>
        <w:t xml:space="preserve">The WELS Regulator has successfully prosecuted entities who chose not to pay their infringements, and this resulted in penalties being imposed by the </w:t>
      </w:r>
      <w:r w:rsidR="1422012A">
        <w:t>Federal</w:t>
      </w:r>
      <w:r>
        <w:t xml:space="preserve"> Court of over $2M on a company director and their four companies.</w:t>
      </w:r>
    </w:p>
    <w:p w14:paraId="15E71946" w14:textId="17EFCE25" w:rsidR="00371085" w:rsidRDefault="0063191E" w:rsidP="0063191E">
      <w:r>
        <w:t>Under a range of Commonwealth legislation, court-imposed civil sanctions may be taken into consideration in relation to continuing permissions and future applications for permissions</w:t>
      </w:r>
      <w:r w:rsidR="00956028">
        <w:t xml:space="preserve"> that are external to the WELS scheme.</w:t>
      </w:r>
    </w:p>
    <w:p w14:paraId="4CFA3756" w14:textId="68308227" w:rsidR="00A55FC1" w:rsidRDefault="00A55FC1" w:rsidP="00315520">
      <w:r>
        <w:t xml:space="preserve">The WELS Regulator has the power to publicise contraventions of the WELS </w:t>
      </w:r>
      <w:proofErr w:type="gramStart"/>
      <w:r>
        <w:t>Act</w:t>
      </w:r>
      <w:proofErr w:type="gramEnd"/>
      <w:r>
        <w:t xml:space="preserve"> and such information will be made public.</w:t>
      </w:r>
    </w:p>
    <w:p w14:paraId="45AEB18F" w14:textId="77777777" w:rsidR="009E0A55" w:rsidRPr="00E44880" w:rsidRDefault="009E0A55" w:rsidP="009E0A55">
      <w:pPr>
        <w:pStyle w:val="ListBullet"/>
        <w:numPr>
          <w:ilvl w:val="0"/>
          <w:numId w:val="0"/>
        </w:numPr>
        <w:rPr>
          <w:b/>
          <w:bCs/>
        </w:rPr>
      </w:pPr>
      <w:r w:rsidRPr="00E44880">
        <w:rPr>
          <w:b/>
          <w:bCs/>
        </w:rPr>
        <w:t>Criminal sanctions</w:t>
      </w:r>
    </w:p>
    <w:p w14:paraId="4E853A13" w14:textId="1963FEE6" w:rsidR="00340F66" w:rsidRDefault="00D74D1A" w:rsidP="000C08F0">
      <w:pPr>
        <w:pStyle w:val="ListBullet"/>
        <w:numPr>
          <w:ilvl w:val="0"/>
          <w:numId w:val="0"/>
        </w:numPr>
        <w:ind w:firstLine="1"/>
      </w:pPr>
      <w:r>
        <w:t>C</w:t>
      </w:r>
      <w:r w:rsidRPr="00340F66">
        <w:t>riminal prosecution</w:t>
      </w:r>
      <w:r>
        <w:t xml:space="preserve"> is a legal action that </w:t>
      </w:r>
      <w:r w:rsidR="00284EB4">
        <w:t>may result in a criminal penalty involving imprisonment</w:t>
      </w:r>
      <w:r w:rsidR="003A74A0">
        <w:t>,</w:t>
      </w:r>
      <w:r w:rsidR="00284EB4">
        <w:t xml:space="preserve"> a financial penalty, or both. </w:t>
      </w:r>
      <w:r w:rsidR="0031014F" w:rsidRPr="009420E8">
        <w:t xml:space="preserve">The Criminal Code applies to </w:t>
      </w:r>
      <w:r w:rsidR="0031014F">
        <w:t xml:space="preserve">all </w:t>
      </w:r>
      <w:r w:rsidR="00530E66">
        <w:t xml:space="preserve">strict liability </w:t>
      </w:r>
      <w:r w:rsidR="0031014F" w:rsidRPr="009420E8">
        <w:t xml:space="preserve">offences </w:t>
      </w:r>
      <w:r w:rsidR="008C68E0">
        <w:t>under</w:t>
      </w:r>
      <w:r w:rsidR="0031014F" w:rsidRPr="009420E8">
        <w:t xml:space="preserve"> the WELS Act</w:t>
      </w:r>
      <w:r w:rsidR="0031014F">
        <w:t xml:space="preserve">. </w:t>
      </w:r>
    </w:p>
    <w:p w14:paraId="227CB788" w14:textId="77777777" w:rsidR="003A74A0" w:rsidRDefault="003A74A0" w:rsidP="003A74A0">
      <w:pPr>
        <w:pStyle w:val="ListBullet"/>
        <w:numPr>
          <w:ilvl w:val="0"/>
          <w:numId w:val="0"/>
        </w:numPr>
        <w:ind w:firstLine="1"/>
      </w:pPr>
      <w:r>
        <w:t xml:space="preserve">These serious penalties mean that criminal sanctions should be used only in situations where such a response is appropriate, such as in the case of deliberate non-compliance, or when recklessness and high risk coincide. </w:t>
      </w:r>
    </w:p>
    <w:p w14:paraId="5053769E" w14:textId="68AAD062" w:rsidR="00284EB4" w:rsidRDefault="00E44880" w:rsidP="00DF6B3D">
      <w:pPr>
        <w:pStyle w:val="ListBullet"/>
        <w:numPr>
          <w:ilvl w:val="0"/>
          <w:numId w:val="0"/>
        </w:numPr>
        <w:ind w:firstLine="1"/>
      </w:pPr>
      <w:r>
        <w:t>Where criminal behaviour is suspected, we can refer a matter to the Commonwealth Director of</w:t>
      </w:r>
      <w:r w:rsidR="00F5390C">
        <w:t xml:space="preserve"> </w:t>
      </w:r>
      <w:r>
        <w:t>Public Prosecutions to commence a criminal prosecution</w:t>
      </w:r>
      <w:r w:rsidR="000C08F0">
        <w:t>, in accordance with</w:t>
      </w:r>
      <w:r w:rsidR="000C08F0" w:rsidRPr="000C08F0">
        <w:t xml:space="preserve"> </w:t>
      </w:r>
      <w:r w:rsidR="000C08F0">
        <w:t>the Prosecution Policy of the Commonwealth</w:t>
      </w:r>
      <w:r w:rsidR="00097EDB">
        <w:t>.</w:t>
      </w:r>
    </w:p>
    <w:p w14:paraId="19A3AD04" w14:textId="77777777" w:rsidR="003F3859" w:rsidRPr="003F3859" w:rsidRDefault="003F3859" w:rsidP="003F3859">
      <w:pPr>
        <w:pStyle w:val="Heading2"/>
        <w:pageBreakBefore w:val="0"/>
        <w:spacing w:before="240"/>
        <w:rPr>
          <w:bCs w:val="0"/>
        </w:rPr>
      </w:pPr>
      <w:bookmarkStart w:id="27" w:name="_Toc45635782"/>
      <w:bookmarkStart w:id="28" w:name="_Toc164718153"/>
      <w:bookmarkStart w:id="29" w:name="_Toc213679839"/>
      <w:bookmarkStart w:id="30" w:name="_Toc430782157"/>
      <w:r w:rsidRPr="003F3859">
        <w:rPr>
          <w:bCs w:val="0"/>
        </w:rPr>
        <w:t>Our compliance priorities</w:t>
      </w:r>
      <w:bookmarkEnd w:id="27"/>
      <w:bookmarkEnd w:id="28"/>
      <w:bookmarkEnd w:id="29"/>
    </w:p>
    <w:p w14:paraId="72FEF356" w14:textId="6A6706D0" w:rsidR="003F3859" w:rsidRPr="003F3859" w:rsidRDefault="0046077A" w:rsidP="003F3859">
      <w:r>
        <w:t>The compliance priorities</w:t>
      </w:r>
      <w:r w:rsidR="000F2183">
        <w:t xml:space="preserve"> of the WELS Regulator</w:t>
      </w:r>
      <w:r>
        <w:t xml:space="preserve"> are </w:t>
      </w:r>
      <w:r w:rsidR="00CE0D84">
        <w:t xml:space="preserve">set out in annual WELS Compliance </w:t>
      </w:r>
      <w:r w:rsidR="6686B8FA">
        <w:t>priorities</w:t>
      </w:r>
      <w:bookmarkStart w:id="31" w:name="_Toc45635784"/>
      <w:r w:rsidR="00CE0D84">
        <w:t>, published on the Water Rating website</w:t>
      </w:r>
      <w:r w:rsidR="006F669C">
        <w:t xml:space="preserve"> waterrating.gov.au.</w:t>
      </w:r>
    </w:p>
    <w:bookmarkEnd w:id="30"/>
    <w:bookmarkEnd w:id="31"/>
    <w:p w14:paraId="1F7F9619" w14:textId="048FC67F" w:rsidR="00A004D5" w:rsidRDefault="00A004D5" w:rsidP="7FBBA990">
      <w:pPr>
        <w:pStyle w:val="Heading2"/>
        <w:pageBreakBefore w:val="0"/>
        <w:numPr>
          <w:ilvl w:val="0"/>
          <w:numId w:val="0"/>
        </w:numPr>
        <w:spacing w:before="240"/>
        <w:sectPr w:rsidR="00A004D5" w:rsidSect="008164B0">
          <w:footerReference w:type="default" r:id="rId21"/>
          <w:pgSz w:w="11906" w:h="16838" w:code="9"/>
          <w:pgMar w:top="1418" w:right="1418" w:bottom="1276" w:left="1418" w:header="567" w:footer="284" w:gutter="0"/>
          <w:pgNumType w:start="1"/>
          <w:cols w:space="708"/>
          <w:docGrid w:linePitch="360"/>
        </w:sectPr>
      </w:pPr>
    </w:p>
    <w:p w14:paraId="6DA4A6A2" w14:textId="77777777" w:rsidR="00315520" w:rsidRDefault="00BD538D" w:rsidP="002B6747">
      <w:pPr>
        <w:pStyle w:val="Heading2"/>
        <w:pageBreakBefore w:val="0"/>
        <w:spacing w:before="240"/>
      </w:pPr>
      <w:bookmarkStart w:id="32" w:name="_Toc213679840"/>
      <w:r w:rsidRPr="002B6747">
        <w:rPr>
          <w:bCs w:val="0"/>
        </w:rPr>
        <w:lastRenderedPageBreak/>
        <w:t>Information disclosure</w:t>
      </w:r>
      <w:bookmarkEnd w:id="32"/>
    </w:p>
    <w:p w14:paraId="3B2D1B2B" w14:textId="77777777" w:rsidR="00112914" w:rsidRDefault="00BD538D" w:rsidP="00112914">
      <w:r>
        <w:t xml:space="preserve">Information </w:t>
      </w:r>
      <w:r w:rsidR="00BA597B">
        <w:t xml:space="preserve">we </w:t>
      </w:r>
      <w:r>
        <w:t xml:space="preserve">receive from the public about alleged non-compliance will be handled in a confidential manner. </w:t>
      </w:r>
      <w:r w:rsidR="00112914">
        <w:t>We may share this information with relevant internal areas and with other law enforcement and regulatory agencies as provided for under relevant legislation.</w:t>
      </w:r>
    </w:p>
    <w:p w14:paraId="4B57A71B" w14:textId="77777777" w:rsidR="00112914" w:rsidRDefault="00112914" w:rsidP="00112914">
      <w:r>
        <w:t>Where legislation permits or requires, we may release details of non-compliance or investigative activities where such a release would support the achievement of the department’s regulatory outcomes or is required by law. In other circumstances, the details of investigation activities may remain confidential once the investigation is complete.</w:t>
      </w:r>
    </w:p>
    <w:p w14:paraId="5185DBCD" w14:textId="511E07C3" w:rsidR="00ED78B3" w:rsidRDefault="6E7EB6F6" w:rsidP="00ED78B3">
      <w:r>
        <w:t xml:space="preserve">We may choose to release information about entities that have breached or are alleged to have breached our legislation to support our regulatory outcomes. This will be done in accordance with our legal obligations, including the </w:t>
      </w:r>
      <w:r w:rsidRPr="00706F22">
        <w:rPr>
          <w:i/>
          <w:iCs/>
        </w:rPr>
        <w:t>Privacy Act 1988</w:t>
      </w:r>
      <w:r>
        <w:t>. We will ensure that the released information does not prejudice a</w:t>
      </w:r>
      <w:r w:rsidR="70D56CF0">
        <w:t>n entity</w:t>
      </w:r>
      <w:r>
        <w:t>’s right to a fair hearing or legal process, impinge upon the safety of others involved in the investigation (such as complainants, witnesses and suspects) or prejudice any of our past or future activities.</w:t>
      </w:r>
    </w:p>
    <w:p w14:paraId="174E19F9" w14:textId="466BE5B0" w:rsidR="00ED78B3" w:rsidRDefault="6E7EB6F6" w:rsidP="00ED78B3">
      <w:r>
        <w:t xml:space="preserve">Request for information from the public, including regulated entities, may be made under the </w:t>
      </w:r>
      <w:r w:rsidRPr="00706F22">
        <w:rPr>
          <w:i/>
          <w:iCs/>
        </w:rPr>
        <w:t>Freedom of Information Act 1982</w:t>
      </w:r>
      <w:r>
        <w:t xml:space="preserve">. For details about how to make a Freedom of Information (FOI) request, see </w:t>
      </w:r>
      <w:hyperlink r:id="rId22">
        <w:r w:rsidRPr="1E02CF34">
          <w:rPr>
            <w:rStyle w:val="Hyperlink"/>
          </w:rPr>
          <w:t>Freedom of Information</w:t>
        </w:r>
      </w:hyperlink>
      <w:r>
        <w:t>.</w:t>
      </w:r>
    </w:p>
    <w:p w14:paraId="2A471869" w14:textId="1C15BCE0" w:rsidR="00ED78B3" w:rsidRDefault="00ED78B3" w:rsidP="00ED78B3">
      <w:r>
        <w:t xml:space="preserve">The media can greatly assist us by informing the regulated community of its obligations under our laws. This includes communicating the consequences of not complying with our laws. Media enquiries or requests for information should be directed to </w:t>
      </w:r>
      <w:hyperlink r:id="rId23" w:history="1">
        <w:r w:rsidRPr="00444693">
          <w:rPr>
            <w:rStyle w:val="Hyperlink"/>
          </w:rPr>
          <w:t>mediateam@dcceew.gov.au</w:t>
        </w:r>
      </w:hyperlink>
      <w:r>
        <w:t xml:space="preserve"> </w:t>
      </w:r>
    </w:p>
    <w:p w14:paraId="6BC286B0" w14:textId="1C146803" w:rsidR="00112914" w:rsidRDefault="00ED78B3" w:rsidP="00ED78B3">
      <w:r>
        <w:t xml:space="preserve">Non-compliant entities that are subject to court decisions and enforcement actions can expect the outcomes of these matters to be published in accordance with our legal obligations. For information on our compliance outcomes see </w:t>
      </w:r>
      <w:hyperlink r:id="rId24" w:history="1">
        <w:r w:rsidRPr="00245B20">
          <w:rPr>
            <w:rStyle w:val="Hyperlink"/>
          </w:rPr>
          <w:t>News and media</w:t>
        </w:r>
      </w:hyperlink>
      <w:r>
        <w:t>.</w:t>
      </w:r>
    </w:p>
    <w:p w14:paraId="54BAEF97" w14:textId="32B2A10D" w:rsidR="00315520" w:rsidRDefault="00B91831" w:rsidP="00A76A1B">
      <w:pPr>
        <w:pStyle w:val="Heading2"/>
        <w:pageBreakBefore w:val="0"/>
        <w:spacing w:before="240"/>
      </w:pPr>
      <w:bookmarkStart w:id="33" w:name="_Toc111817129"/>
      <w:bookmarkStart w:id="34" w:name="_Toc111817130"/>
      <w:bookmarkStart w:id="35" w:name="_Toc111817131"/>
      <w:bookmarkStart w:id="36" w:name="_Toc111817132"/>
      <w:bookmarkStart w:id="37" w:name="_Toc111817133"/>
      <w:bookmarkStart w:id="38" w:name="_Toc213679841"/>
      <w:bookmarkEnd w:id="33"/>
      <w:bookmarkEnd w:id="34"/>
      <w:bookmarkEnd w:id="35"/>
      <w:bookmarkEnd w:id="36"/>
      <w:bookmarkEnd w:id="37"/>
      <w:r>
        <w:t>Reporting non-compliance</w:t>
      </w:r>
      <w:bookmarkEnd w:id="38"/>
    </w:p>
    <w:p w14:paraId="52465ACF" w14:textId="4384BC79" w:rsidR="00DA44BC" w:rsidRPr="00C27EA6" w:rsidRDefault="2B2A4CC8" w:rsidP="00B91831">
      <w:r>
        <w:t>If you come across something you think does not comply with our legislation, please visit</w:t>
      </w:r>
      <w:r w:rsidR="664047E3">
        <w:t xml:space="preserve"> the </w:t>
      </w:r>
      <w:r w:rsidR="0AA207F2">
        <w:t>Water Rating website</w:t>
      </w:r>
      <w:r w:rsidR="2F3FB259">
        <w:t xml:space="preserve"> </w:t>
      </w:r>
      <w:hyperlink r:id="rId25">
        <w:r w:rsidR="2F3FB259" w:rsidRPr="7FBBA990">
          <w:rPr>
            <w:rStyle w:val="Hyperlink"/>
          </w:rPr>
          <w:t>waterrating.gov.au</w:t>
        </w:r>
      </w:hyperlink>
      <w:r w:rsidR="664047E3">
        <w:t xml:space="preserve"> </w:t>
      </w:r>
      <w:r w:rsidR="0B0CB884">
        <w:t xml:space="preserve">to find out more information, </w:t>
      </w:r>
      <w:r w:rsidR="664047E3">
        <w:t xml:space="preserve">or </w:t>
      </w:r>
      <w:r w:rsidR="0B0CB884">
        <w:t xml:space="preserve">report your concern to us </w:t>
      </w:r>
      <w:r w:rsidR="2CD0B630">
        <w:t xml:space="preserve">via email at </w:t>
      </w:r>
      <w:r w:rsidR="4FD0C376">
        <w:t xml:space="preserve">email </w:t>
      </w:r>
      <w:hyperlink r:id="rId26">
        <w:r w:rsidR="2CD0B630" w:rsidRPr="7FBBA990">
          <w:rPr>
            <w:rStyle w:val="Hyperlink"/>
          </w:rPr>
          <w:t>welscompliance@dcceew.gov.au</w:t>
        </w:r>
      </w:hyperlink>
      <w:r w:rsidR="2CD0B630">
        <w:t>, or by phone (t</w:t>
      </w:r>
      <w:r w:rsidR="583CF7D8">
        <w:t>oll-free</w:t>
      </w:r>
      <w:r w:rsidR="2CD0B630">
        <w:t>)</w:t>
      </w:r>
      <w:r w:rsidR="583CF7D8">
        <w:t xml:space="preserve"> </w:t>
      </w:r>
      <w:r w:rsidR="093BFF00">
        <w:t xml:space="preserve">on </w:t>
      </w:r>
      <w:r w:rsidR="0AA207F2">
        <w:t>1800</w:t>
      </w:r>
      <w:r w:rsidR="31D94110">
        <w:t> </w:t>
      </w:r>
      <w:r w:rsidR="0AA207F2">
        <w:t>372</w:t>
      </w:r>
      <w:r w:rsidR="31D94110">
        <w:t> </w:t>
      </w:r>
      <w:r w:rsidR="0AA207F2">
        <w:t xml:space="preserve">746 </w:t>
      </w:r>
      <w:r w:rsidR="093BFF00">
        <w:t>(</w:t>
      </w:r>
      <w:r w:rsidR="583CF7D8">
        <w:t xml:space="preserve">International </w:t>
      </w:r>
      <w:r w:rsidR="0AA207F2">
        <w:t xml:space="preserve">+61 2 </w:t>
      </w:r>
      <w:r w:rsidR="34DBD966">
        <w:t>5162</w:t>
      </w:r>
      <w:r w:rsidR="0AA207F2">
        <w:t xml:space="preserve"> 5232).</w:t>
      </w:r>
    </w:p>
    <w:p w14:paraId="7C864E26" w14:textId="3AB5FEF1" w:rsidR="00DA44BC" w:rsidRDefault="00DA44BC" w:rsidP="00B91831">
      <w:pPr>
        <w:pStyle w:val="ListBullet"/>
        <w:numPr>
          <w:ilvl w:val="0"/>
          <w:numId w:val="0"/>
        </w:numPr>
      </w:pPr>
    </w:p>
    <w:sectPr w:rsidR="00DA44BC" w:rsidSect="008E5896">
      <w:pgSz w:w="11906" w:h="16838" w:code="9"/>
      <w:pgMar w:top="1418" w:right="1418" w:bottom="1276"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A6C7F" w14:textId="77777777" w:rsidR="00893D64" w:rsidRDefault="00893D64">
      <w:pPr>
        <w:spacing w:after="0" w:line="240" w:lineRule="auto"/>
      </w:pPr>
      <w:r>
        <w:separator/>
      </w:r>
    </w:p>
  </w:endnote>
  <w:endnote w:type="continuationSeparator" w:id="0">
    <w:p w14:paraId="758DF8CE" w14:textId="77777777" w:rsidR="00893D64" w:rsidRDefault="00893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11CA9" w14:textId="4608E997" w:rsidR="006B31CB" w:rsidRDefault="000B3183">
    <w:pPr>
      <w:pStyle w:val="Footer"/>
    </w:pPr>
    <w:r>
      <w:t>Department of Climate Change, Energy, the Environment and Water</w:t>
    </w:r>
    <w:r w:rsidDel="00D05D12">
      <w:t xml:space="preserve"> </w:t>
    </w:r>
    <w:sdt>
      <w:sdtPr>
        <w:id w:val="286313627"/>
        <w:docPartObj>
          <w:docPartGallery w:val="Page Numbers (Bottom of Page)"/>
          <w:docPartUnique/>
        </w:docPartObj>
      </w:sdtPr>
      <w:sdtEndPr>
        <w:rPr>
          <w:noProof/>
        </w:rPr>
      </w:sdtEndPr>
      <w:sdtContent>
        <w:r w:rsidR="003E7D35">
          <w:fldChar w:fldCharType="begin"/>
        </w:r>
        <w:r w:rsidR="003E7D35">
          <w:instrText xml:space="preserve"> PAGE   \* MERGEFORMAT </w:instrText>
        </w:r>
        <w:r w:rsidR="003E7D35">
          <w:fldChar w:fldCharType="separate"/>
        </w:r>
        <w:r w:rsidR="003E7D35">
          <w:t>i</w:t>
        </w:r>
        <w:r w:rsidR="003E7D35">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B2379" w14:textId="08C45F6C" w:rsidR="004D115F" w:rsidRDefault="00000000" w:rsidP="00497DCD">
    <w:pPr>
      <w:pStyle w:val="Footer"/>
      <w:jc w:val="right"/>
    </w:pPr>
    <w:sdt>
      <w:sdtPr>
        <w:id w:val="840739172"/>
        <w:docPartObj>
          <w:docPartGallery w:val="Page Numbers (Bottom of Page)"/>
          <w:docPartUnique/>
        </w:docPartObj>
      </w:sdtPr>
      <w:sdtEndPr>
        <w:rPr>
          <w:noProof/>
        </w:rPr>
      </w:sdtEndPr>
      <w:sdtContent>
        <w:r w:rsidR="003E7D35">
          <w:fldChar w:fldCharType="begin"/>
        </w:r>
        <w:r w:rsidR="003E7D35">
          <w:instrText xml:space="preserve"> PAGE   \* MERGEFORMAT </w:instrText>
        </w:r>
        <w:r w:rsidR="003E7D35">
          <w:fldChar w:fldCharType="separate"/>
        </w:r>
        <w:r w:rsidR="003E7D35">
          <w:rPr>
            <w:noProof/>
          </w:rPr>
          <w:t>9</w:t>
        </w:r>
        <w:r w:rsidR="003E7D3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FF75B" w14:textId="77777777" w:rsidR="00893D64" w:rsidRDefault="00893D64">
      <w:pPr>
        <w:spacing w:after="0" w:line="240" w:lineRule="auto"/>
      </w:pPr>
      <w:r>
        <w:separator/>
      </w:r>
    </w:p>
  </w:footnote>
  <w:footnote w:type="continuationSeparator" w:id="0">
    <w:p w14:paraId="3DEAD569" w14:textId="77777777" w:rsidR="00893D64" w:rsidRDefault="00893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8262A" w14:textId="77777777" w:rsidR="00291ABB" w:rsidRDefault="00BD538D">
    <w:pPr>
      <w:pStyle w:val="Header"/>
    </w:pPr>
    <w:r>
      <w:rPr>
        <w:noProof/>
        <w:lang w:eastAsia="en-AU"/>
      </w:rPr>
      <w:drawing>
        <wp:anchor distT="0" distB="0" distL="114300" distR="114300" simplePos="0" relativeHeight="251658240" behindDoc="1" locked="0" layoutInCell="1" allowOverlap="1" wp14:anchorId="7350C2F8" wp14:editId="7C549E60">
          <wp:simplePos x="0" y="0"/>
          <wp:positionH relativeFrom="page">
            <wp:align>right</wp:align>
          </wp:positionH>
          <wp:positionV relativeFrom="paragraph">
            <wp:posOffset>-357529</wp:posOffset>
          </wp:positionV>
          <wp:extent cx="7581841" cy="10724084"/>
          <wp:effectExtent l="0" t="0" r="635" b="1270"/>
          <wp:wrapNone/>
          <wp:docPr id="1" name="Picture 1" descr="Australian  Government Water Rating website publication. The Water Efficiency Labelling and Standards (WELS) scheme is an Australian Government initiative in partnership with state and territory govern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793759" name="Picture 1" descr="Wels cover fil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41" cy="10724084"/>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AAC21" w14:textId="0458E6D0" w:rsidR="00291ABB" w:rsidRDefault="00BD538D">
    <w:pPr>
      <w:pStyle w:val="Header"/>
    </w:pPr>
    <w:r>
      <w:t xml:space="preserve">Water Efficiency Labelling and Standards </w:t>
    </w:r>
    <w:r w:rsidR="0066151F">
      <w:t>s</w:t>
    </w:r>
    <w:r>
      <w:t>cheme Compliance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8263"/>
    <w:multiLevelType w:val="hybridMultilevel"/>
    <w:tmpl w:val="142A0FEE"/>
    <w:lvl w:ilvl="0" w:tplc="766A52F0">
      <w:start w:val="1"/>
      <w:numFmt w:val="bullet"/>
      <w:lvlText w:val=""/>
      <w:lvlJc w:val="left"/>
      <w:pPr>
        <w:ind w:left="720" w:hanging="360"/>
      </w:pPr>
      <w:rPr>
        <w:rFonts w:ascii="Symbol" w:hAnsi="Symbol" w:hint="default"/>
      </w:rPr>
    </w:lvl>
    <w:lvl w:ilvl="1" w:tplc="1D523E2E">
      <w:start w:val="1"/>
      <w:numFmt w:val="bullet"/>
      <w:lvlText w:val="o"/>
      <w:lvlJc w:val="left"/>
      <w:pPr>
        <w:ind w:left="1440" w:hanging="360"/>
      </w:pPr>
      <w:rPr>
        <w:rFonts w:ascii="Courier New" w:hAnsi="Courier New" w:hint="default"/>
      </w:rPr>
    </w:lvl>
    <w:lvl w:ilvl="2" w:tplc="D23496C2">
      <w:start w:val="1"/>
      <w:numFmt w:val="bullet"/>
      <w:lvlText w:val=""/>
      <w:lvlJc w:val="left"/>
      <w:pPr>
        <w:ind w:left="2160" w:hanging="360"/>
      </w:pPr>
      <w:rPr>
        <w:rFonts w:ascii="Wingdings" w:hAnsi="Wingdings" w:hint="default"/>
      </w:rPr>
    </w:lvl>
    <w:lvl w:ilvl="3" w:tplc="299E1006">
      <w:start w:val="1"/>
      <w:numFmt w:val="bullet"/>
      <w:lvlText w:val=""/>
      <w:lvlJc w:val="left"/>
      <w:pPr>
        <w:ind w:left="2880" w:hanging="360"/>
      </w:pPr>
      <w:rPr>
        <w:rFonts w:ascii="Symbol" w:hAnsi="Symbol" w:hint="default"/>
      </w:rPr>
    </w:lvl>
    <w:lvl w:ilvl="4" w:tplc="0DC0D172">
      <w:start w:val="1"/>
      <w:numFmt w:val="bullet"/>
      <w:lvlText w:val="o"/>
      <w:lvlJc w:val="left"/>
      <w:pPr>
        <w:ind w:left="3600" w:hanging="360"/>
      </w:pPr>
      <w:rPr>
        <w:rFonts w:ascii="Courier New" w:hAnsi="Courier New" w:hint="default"/>
      </w:rPr>
    </w:lvl>
    <w:lvl w:ilvl="5" w:tplc="A644EE6A">
      <w:start w:val="1"/>
      <w:numFmt w:val="bullet"/>
      <w:lvlText w:val=""/>
      <w:lvlJc w:val="left"/>
      <w:pPr>
        <w:ind w:left="4320" w:hanging="360"/>
      </w:pPr>
      <w:rPr>
        <w:rFonts w:ascii="Wingdings" w:hAnsi="Wingdings" w:hint="default"/>
      </w:rPr>
    </w:lvl>
    <w:lvl w:ilvl="6" w:tplc="211C7E6A">
      <w:start w:val="1"/>
      <w:numFmt w:val="bullet"/>
      <w:lvlText w:val=""/>
      <w:lvlJc w:val="left"/>
      <w:pPr>
        <w:ind w:left="5040" w:hanging="360"/>
      </w:pPr>
      <w:rPr>
        <w:rFonts w:ascii="Symbol" w:hAnsi="Symbol" w:hint="default"/>
      </w:rPr>
    </w:lvl>
    <w:lvl w:ilvl="7" w:tplc="4300E19A">
      <w:start w:val="1"/>
      <w:numFmt w:val="bullet"/>
      <w:lvlText w:val="o"/>
      <w:lvlJc w:val="left"/>
      <w:pPr>
        <w:ind w:left="5760" w:hanging="360"/>
      </w:pPr>
      <w:rPr>
        <w:rFonts w:ascii="Courier New" w:hAnsi="Courier New" w:hint="default"/>
      </w:rPr>
    </w:lvl>
    <w:lvl w:ilvl="8" w:tplc="6A8E39EA">
      <w:start w:val="1"/>
      <w:numFmt w:val="bullet"/>
      <w:lvlText w:val=""/>
      <w:lvlJc w:val="left"/>
      <w:pPr>
        <w:ind w:left="6480" w:hanging="360"/>
      </w:pPr>
      <w:rPr>
        <w:rFonts w:ascii="Wingdings" w:hAnsi="Wingdings" w:hint="default"/>
      </w:rPr>
    </w:lvl>
  </w:abstractNum>
  <w:abstractNum w:abstractNumId="1" w15:restartNumberingAfterBreak="0">
    <w:nsid w:val="12056DAA"/>
    <w:multiLevelType w:val="hybridMultilevel"/>
    <w:tmpl w:val="C5CCCECC"/>
    <w:lvl w:ilvl="0" w:tplc="A906D364">
      <w:start w:val="1"/>
      <w:numFmt w:val="bullet"/>
      <w:pStyle w:val="TableBullet2"/>
      <w:lvlText w:val=""/>
      <w:lvlJc w:val="left"/>
      <w:pPr>
        <w:ind w:left="1004" w:hanging="360"/>
      </w:pPr>
      <w:rPr>
        <w:rFonts w:ascii="Symbol" w:hAnsi="Symbol" w:hint="default"/>
      </w:rPr>
    </w:lvl>
    <w:lvl w:ilvl="1" w:tplc="318C27C2" w:tentative="1">
      <w:start w:val="1"/>
      <w:numFmt w:val="bullet"/>
      <w:lvlText w:val="o"/>
      <w:lvlJc w:val="left"/>
      <w:pPr>
        <w:ind w:left="1724" w:hanging="360"/>
      </w:pPr>
      <w:rPr>
        <w:rFonts w:ascii="Courier New" w:hAnsi="Courier New" w:cs="Courier New" w:hint="default"/>
      </w:rPr>
    </w:lvl>
    <w:lvl w:ilvl="2" w:tplc="93E895FA" w:tentative="1">
      <w:start w:val="1"/>
      <w:numFmt w:val="bullet"/>
      <w:lvlText w:val=""/>
      <w:lvlJc w:val="left"/>
      <w:pPr>
        <w:ind w:left="2444" w:hanging="360"/>
      </w:pPr>
      <w:rPr>
        <w:rFonts w:ascii="Wingdings" w:hAnsi="Wingdings" w:hint="default"/>
      </w:rPr>
    </w:lvl>
    <w:lvl w:ilvl="3" w:tplc="2EAA9892" w:tentative="1">
      <w:start w:val="1"/>
      <w:numFmt w:val="bullet"/>
      <w:lvlText w:val=""/>
      <w:lvlJc w:val="left"/>
      <w:pPr>
        <w:ind w:left="3164" w:hanging="360"/>
      </w:pPr>
      <w:rPr>
        <w:rFonts w:ascii="Symbol" w:hAnsi="Symbol" w:hint="default"/>
      </w:rPr>
    </w:lvl>
    <w:lvl w:ilvl="4" w:tplc="ACE2FEEE" w:tentative="1">
      <w:start w:val="1"/>
      <w:numFmt w:val="bullet"/>
      <w:lvlText w:val="o"/>
      <w:lvlJc w:val="left"/>
      <w:pPr>
        <w:ind w:left="3884" w:hanging="360"/>
      </w:pPr>
      <w:rPr>
        <w:rFonts w:ascii="Courier New" w:hAnsi="Courier New" w:cs="Courier New" w:hint="default"/>
      </w:rPr>
    </w:lvl>
    <w:lvl w:ilvl="5" w:tplc="92484654" w:tentative="1">
      <w:start w:val="1"/>
      <w:numFmt w:val="bullet"/>
      <w:lvlText w:val=""/>
      <w:lvlJc w:val="left"/>
      <w:pPr>
        <w:ind w:left="4604" w:hanging="360"/>
      </w:pPr>
      <w:rPr>
        <w:rFonts w:ascii="Wingdings" w:hAnsi="Wingdings" w:hint="default"/>
      </w:rPr>
    </w:lvl>
    <w:lvl w:ilvl="6" w:tplc="60147C54" w:tentative="1">
      <w:start w:val="1"/>
      <w:numFmt w:val="bullet"/>
      <w:lvlText w:val=""/>
      <w:lvlJc w:val="left"/>
      <w:pPr>
        <w:ind w:left="5324" w:hanging="360"/>
      </w:pPr>
      <w:rPr>
        <w:rFonts w:ascii="Symbol" w:hAnsi="Symbol" w:hint="default"/>
      </w:rPr>
    </w:lvl>
    <w:lvl w:ilvl="7" w:tplc="00D4135C" w:tentative="1">
      <w:start w:val="1"/>
      <w:numFmt w:val="bullet"/>
      <w:lvlText w:val="o"/>
      <w:lvlJc w:val="left"/>
      <w:pPr>
        <w:ind w:left="6044" w:hanging="360"/>
      </w:pPr>
      <w:rPr>
        <w:rFonts w:ascii="Courier New" w:hAnsi="Courier New" w:cs="Courier New" w:hint="default"/>
      </w:rPr>
    </w:lvl>
    <w:lvl w:ilvl="8" w:tplc="0C78A08C" w:tentative="1">
      <w:start w:val="1"/>
      <w:numFmt w:val="bullet"/>
      <w:lvlText w:val=""/>
      <w:lvlJc w:val="left"/>
      <w:pPr>
        <w:ind w:left="6764" w:hanging="360"/>
      </w:pPr>
      <w:rPr>
        <w:rFonts w:ascii="Wingdings" w:hAnsi="Wingdings" w:hint="default"/>
      </w:rPr>
    </w:lvl>
  </w:abstractNum>
  <w:abstractNum w:abstractNumId="2" w15:restartNumberingAfterBreak="0">
    <w:nsid w:val="196B606F"/>
    <w:multiLevelType w:val="hybridMultilevel"/>
    <w:tmpl w:val="E0560262"/>
    <w:lvl w:ilvl="0" w:tplc="82044CBE">
      <w:start w:val="1"/>
      <w:numFmt w:val="bullet"/>
      <w:pStyle w:val="TableBullet1"/>
      <w:lvlText w:val=""/>
      <w:lvlJc w:val="left"/>
      <w:pPr>
        <w:ind w:left="720" w:hanging="360"/>
      </w:pPr>
      <w:rPr>
        <w:rFonts w:ascii="Symbol" w:hAnsi="Symbol" w:hint="default"/>
      </w:rPr>
    </w:lvl>
    <w:lvl w:ilvl="1" w:tplc="ACB04A4C" w:tentative="1">
      <w:start w:val="1"/>
      <w:numFmt w:val="bullet"/>
      <w:lvlText w:val="o"/>
      <w:lvlJc w:val="left"/>
      <w:pPr>
        <w:ind w:left="1440" w:hanging="360"/>
      </w:pPr>
      <w:rPr>
        <w:rFonts w:ascii="Courier New" w:hAnsi="Courier New" w:cs="Courier New" w:hint="default"/>
      </w:rPr>
    </w:lvl>
    <w:lvl w:ilvl="2" w:tplc="D174F1EC" w:tentative="1">
      <w:start w:val="1"/>
      <w:numFmt w:val="bullet"/>
      <w:lvlText w:val=""/>
      <w:lvlJc w:val="left"/>
      <w:pPr>
        <w:ind w:left="2160" w:hanging="360"/>
      </w:pPr>
      <w:rPr>
        <w:rFonts w:ascii="Wingdings" w:hAnsi="Wingdings" w:hint="default"/>
      </w:rPr>
    </w:lvl>
    <w:lvl w:ilvl="3" w:tplc="76B6929E" w:tentative="1">
      <w:start w:val="1"/>
      <w:numFmt w:val="bullet"/>
      <w:lvlText w:val=""/>
      <w:lvlJc w:val="left"/>
      <w:pPr>
        <w:ind w:left="2880" w:hanging="360"/>
      </w:pPr>
      <w:rPr>
        <w:rFonts w:ascii="Symbol" w:hAnsi="Symbol" w:hint="default"/>
      </w:rPr>
    </w:lvl>
    <w:lvl w:ilvl="4" w:tplc="23803D32" w:tentative="1">
      <w:start w:val="1"/>
      <w:numFmt w:val="bullet"/>
      <w:lvlText w:val="o"/>
      <w:lvlJc w:val="left"/>
      <w:pPr>
        <w:ind w:left="3600" w:hanging="360"/>
      </w:pPr>
      <w:rPr>
        <w:rFonts w:ascii="Courier New" w:hAnsi="Courier New" w:cs="Courier New" w:hint="default"/>
      </w:rPr>
    </w:lvl>
    <w:lvl w:ilvl="5" w:tplc="FC226B54" w:tentative="1">
      <w:start w:val="1"/>
      <w:numFmt w:val="bullet"/>
      <w:lvlText w:val=""/>
      <w:lvlJc w:val="left"/>
      <w:pPr>
        <w:ind w:left="4320" w:hanging="360"/>
      </w:pPr>
      <w:rPr>
        <w:rFonts w:ascii="Wingdings" w:hAnsi="Wingdings" w:hint="default"/>
      </w:rPr>
    </w:lvl>
    <w:lvl w:ilvl="6" w:tplc="10FAC7C8" w:tentative="1">
      <w:start w:val="1"/>
      <w:numFmt w:val="bullet"/>
      <w:lvlText w:val=""/>
      <w:lvlJc w:val="left"/>
      <w:pPr>
        <w:ind w:left="5040" w:hanging="360"/>
      </w:pPr>
      <w:rPr>
        <w:rFonts w:ascii="Symbol" w:hAnsi="Symbol" w:hint="default"/>
      </w:rPr>
    </w:lvl>
    <w:lvl w:ilvl="7" w:tplc="BC28E110" w:tentative="1">
      <w:start w:val="1"/>
      <w:numFmt w:val="bullet"/>
      <w:lvlText w:val="o"/>
      <w:lvlJc w:val="left"/>
      <w:pPr>
        <w:ind w:left="5760" w:hanging="360"/>
      </w:pPr>
      <w:rPr>
        <w:rFonts w:ascii="Courier New" w:hAnsi="Courier New" w:cs="Courier New" w:hint="default"/>
      </w:rPr>
    </w:lvl>
    <w:lvl w:ilvl="8" w:tplc="A282F494" w:tentative="1">
      <w:start w:val="1"/>
      <w:numFmt w:val="bullet"/>
      <w:lvlText w:val=""/>
      <w:lvlJc w:val="left"/>
      <w:pPr>
        <w:ind w:left="6480" w:hanging="360"/>
      </w:pPr>
      <w:rPr>
        <w:rFonts w:ascii="Wingdings" w:hAnsi="Wingdings" w:hint="default"/>
      </w:rPr>
    </w:lvl>
  </w:abstractNum>
  <w:abstractNum w:abstractNumId="3" w15:restartNumberingAfterBreak="0">
    <w:nsid w:val="21A328D5"/>
    <w:multiLevelType w:val="multilevel"/>
    <w:tmpl w:val="BE78A4F8"/>
    <w:numStyleLink w:val="Numberlist"/>
  </w:abstractNum>
  <w:abstractNum w:abstractNumId="4"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8619"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94A15FE"/>
    <w:multiLevelType w:val="multilevel"/>
    <w:tmpl w:val="F36C17E8"/>
    <w:numStyleLink w:val="Headinglist"/>
  </w:abstractNum>
  <w:abstractNum w:abstractNumId="6" w15:restartNumberingAfterBreak="0">
    <w:nsid w:val="48DE2E4A"/>
    <w:multiLevelType w:val="hybridMultilevel"/>
    <w:tmpl w:val="B7086130"/>
    <w:lvl w:ilvl="0" w:tplc="B8A4225E">
      <w:start w:val="1"/>
      <w:numFmt w:val="bullet"/>
      <w:pStyle w:val="BoxTextBullet"/>
      <w:lvlText w:val=""/>
      <w:lvlJc w:val="left"/>
      <w:pPr>
        <w:ind w:left="720" w:hanging="360"/>
      </w:pPr>
      <w:rPr>
        <w:rFonts w:ascii="Symbol" w:hAnsi="Symbol" w:hint="default"/>
      </w:rPr>
    </w:lvl>
    <w:lvl w:ilvl="1" w:tplc="F1A005E8" w:tentative="1">
      <w:start w:val="1"/>
      <w:numFmt w:val="bullet"/>
      <w:lvlText w:val="o"/>
      <w:lvlJc w:val="left"/>
      <w:pPr>
        <w:ind w:left="1440" w:hanging="360"/>
      </w:pPr>
      <w:rPr>
        <w:rFonts w:ascii="Courier New" w:hAnsi="Courier New" w:cs="Courier New" w:hint="default"/>
      </w:rPr>
    </w:lvl>
    <w:lvl w:ilvl="2" w:tplc="E45079AA" w:tentative="1">
      <w:start w:val="1"/>
      <w:numFmt w:val="bullet"/>
      <w:lvlText w:val=""/>
      <w:lvlJc w:val="left"/>
      <w:pPr>
        <w:ind w:left="2160" w:hanging="360"/>
      </w:pPr>
      <w:rPr>
        <w:rFonts w:ascii="Wingdings" w:hAnsi="Wingdings" w:hint="default"/>
      </w:rPr>
    </w:lvl>
    <w:lvl w:ilvl="3" w:tplc="E8D49864" w:tentative="1">
      <w:start w:val="1"/>
      <w:numFmt w:val="bullet"/>
      <w:lvlText w:val=""/>
      <w:lvlJc w:val="left"/>
      <w:pPr>
        <w:ind w:left="2880" w:hanging="360"/>
      </w:pPr>
      <w:rPr>
        <w:rFonts w:ascii="Symbol" w:hAnsi="Symbol" w:hint="default"/>
      </w:rPr>
    </w:lvl>
    <w:lvl w:ilvl="4" w:tplc="CD060ABC" w:tentative="1">
      <w:start w:val="1"/>
      <w:numFmt w:val="bullet"/>
      <w:lvlText w:val="o"/>
      <w:lvlJc w:val="left"/>
      <w:pPr>
        <w:ind w:left="3600" w:hanging="360"/>
      </w:pPr>
      <w:rPr>
        <w:rFonts w:ascii="Courier New" w:hAnsi="Courier New" w:cs="Courier New" w:hint="default"/>
      </w:rPr>
    </w:lvl>
    <w:lvl w:ilvl="5" w:tplc="23D61ED6" w:tentative="1">
      <w:start w:val="1"/>
      <w:numFmt w:val="bullet"/>
      <w:lvlText w:val=""/>
      <w:lvlJc w:val="left"/>
      <w:pPr>
        <w:ind w:left="4320" w:hanging="360"/>
      </w:pPr>
      <w:rPr>
        <w:rFonts w:ascii="Wingdings" w:hAnsi="Wingdings" w:hint="default"/>
      </w:rPr>
    </w:lvl>
    <w:lvl w:ilvl="6" w:tplc="6674072C" w:tentative="1">
      <w:start w:val="1"/>
      <w:numFmt w:val="bullet"/>
      <w:lvlText w:val=""/>
      <w:lvlJc w:val="left"/>
      <w:pPr>
        <w:ind w:left="5040" w:hanging="360"/>
      </w:pPr>
      <w:rPr>
        <w:rFonts w:ascii="Symbol" w:hAnsi="Symbol" w:hint="default"/>
      </w:rPr>
    </w:lvl>
    <w:lvl w:ilvl="7" w:tplc="9BD8483C" w:tentative="1">
      <w:start w:val="1"/>
      <w:numFmt w:val="bullet"/>
      <w:lvlText w:val="o"/>
      <w:lvlJc w:val="left"/>
      <w:pPr>
        <w:ind w:left="5760" w:hanging="360"/>
      </w:pPr>
      <w:rPr>
        <w:rFonts w:ascii="Courier New" w:hAnsi="Courier New" w:cs="Courier New" w:hint="default"/>
      </w:rPr>
    </w:lvl>
    <w:lvl w:ilvl="8" w:tplc="7FD4561C" w:tentative="1">
      <w:start w:val="1"/>
      <w:numFmt w:val="bullet"/>
      <w:lvlText w:val=""/>
      <w:lvlJc w:val="left"/>
      <w:pPr>
        <w:ind w:left="6480" w:hanging="360"/>
      </w:pPr>
      <w:rPr>
        <w:rFonts w:ascii="Wingdings" w:hAnsi="Wingdings" w:hint="default"/>
      </w:rPr>
    </w:lvl>
  </w:abstractNum>
  <w:abstractNum w:abstractNumId="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9"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0"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16cid:durableId="611396386">
    <w:abstractNumId w:val="0"/>
  </w:num>
  <w:num w:numId="2" w16cid:durableId="1409157878">
    <w:abstractNumId w:val="6"/>
  </w:num>
  <w:num w:numId="3" w16cid:durableId="1027944824">
    <w:abstractNumId w:val="2"/>
  </w:num>
  <w:num w:numId="4" w16cid:durableId="1014958132">
    <w:abstractNumId w:val="9"/>
  </w:num>
  <w:num w:numId="5" w16cid:durableId="2015959931">
    <w:abstractNumId w:val="10"/>
  </w:num>
  <w:num w:numId="6" w16cid:durableId="2129541921">
    <w:abstractNumId w:val="4"/>
  </w:num>
  <w:num w:numId="7" w16cid:durableId="1961373190">
    <w:abstractNumId w:val="8"/>
  </w:num>
  <w:num w:numId="8" w16cid:durableId="1998991841">
    <w:abstractNumId w:val="3"/>
  </w:num>
  <w:num w:numId="9" w16cid:durableId="1169294698">
    <w:abstractNumId w:val="7"/>
  </w:num>
  <w:num w:numId="10" w16cid:durableId="754981058">
    <w:abstractNumId w:val="1"/>
  </w:num>
  <w:num w:numId="11" w16cid:durableId="145833164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B1"/>
    <w:rsid w:val="000020C3"/>
    <w:rsid w:val="0000637C"/>
    <w:rsid w:val="00006ACE"/>
    <w:rsid w:val="0000744D"/>
    <w:rsid w:val="0001053A"/>
    <w:rsid w:val="000118E8"/>
    <w:rsid w:val="000154AD"/>
    <w:rsid w:val="00020A0E"/>
    <w:rsid w:val="00020E5A"/>
    <w:rsid w:val="00020FB4"/>
    <w:rsid w:val="000221C7"/>
    <w:rsid w:val="00025DFE"/>
    <w:rsid w:val="00025F69"/>
    <w:rsid w:val="00032A44"/>
    <w:rsid w:val="000333F3"/>
    <w:rsid w:val="0003429E"/>
    <w:rsid w:val="00034591"/>
    <w:rsid w:val="00034663"/>
    <w:rsid w:val="00034AD9"/>
    <w:rsid w:val="0003539E"/>
    <w:rsid w:val="00036FD5"/>
    <w:rsid w:val="0004279A"/>
    <w:rsid w:val="0004456E"/>
    <w:rsid w:val="00046B0A"/>
    <w:rsid w:val="0004723E"/>
    <w:rsid w:val="00047748"/>
    <w:rsid w:val="000509C8"/>
    <w:rsid w:val="00054C80"/>
    <w:rsid w:val="0005547B"/>
    <w:rsid w:val="00056A4D"/>
    <w:rsid w:val="00064E99"/>
    <w:rsid w:val="00065CFC"/>
    <w:rsid w:val="00072D78"/>
    <w:rsid w:val="00073A26"/>
    <w:rsid w:val="00074DDA"/>
    <w:rsid w:val="00076265"/>
    <w:rsid w:val="00080BA3"/>
    <w:rsid w:val="00080F11"/>
    <w:rsid w:val="00081E0C"/>
    <w:rsid w:val="000869AB"/>
    <w:rsid w:val="0008734B"/>
    <w:rsid w:val="00087B0D"/>
    <w:rsid w:val="000926AA"/>
    <w:rsid w:val="00094EB4"/>
    <w:rsid w:val="00095788"/>
    <w:rsid w:val="0009679F"/>
    <w:rsid w:val="00097EDB"/>
    <w:rsid w:val="00097FA8"/>
    <w:rsid w:val="000A1700"/>
    <w:rsid w:val="000A342B"/>
    <w:rsid w:val="000A64C2"/>
    <w:rsid w:val="000A7AAF"/>
    <w:rsid w:val="000B3183"/>
    <w:rsid w:val="000B3DD5"/>
    <w:rsid w:val="000B48DD"/>
    <w:rsid w:val="000B4DB0"/>
    <w:rsid w:val="000B73C4"/>
    <w:rsid w:val="000B7EF9"/>
    <w:rsid w:val="000C0065"/>
    <w:rsid w:val="000C08F0"/>
    <w:rsid w:val="000C24BA"/>
    <w:rsid w:val="000C3780"/>
    <w:rsid w:val="000C4146"/>
    <w:rsid w:val="000C4EDE"/>
    <w:rsid w:val="000D122B"/>
    <w:rsid w:val="000D1C3F"/>
    <w:rsid w:val="000D474D"/>
    <w:rsid w:val="000D47A2"/>
    <w:rsid w:val="000D6818"/>
    <w:rsid w:val="000D796F"/>
    <w:rsid w:val="000E1A65"/>
    <w:rsid w:val="000E32F3"/>
    <w:rsid w:val="000E5749"/>
    <w:rsid w:val="000E722D"/>
    <w:rsid w:val="000F1D9A"/>
    <w:rsid w:val="000F2183"/>
    <w:rsid w:val="000F4CE5"/>
    <w:rsid w:val="000F589C"/>
    <w:rsid w:val="000F7917"/>
    <w:rsid w:val="00100339"/>
    <w:rsid w:val="0010100D"/>
    <w:rsid w:val="0010226F"/>
    <w:rsid w:val="00110314"/>
    <w:rsid w:val="0011109F"/>
    <w:rsid w:val="0011166A"/>
    <w:rsid w:val="0011278A"/>
    <w:rsid w:val="00112914"/>
    <w:rsid w:val="00112A6A"/>
    <w:rsid w:val="00113401"/>
    <w:rsid w:val="0011414E"/>
    <w:rsid w:val="001145A4"/>
    <w:rsid w:val="00116FED"/>
    <w:rsid w:val="00121A16"/>
    <w:rsid w:val="00124914"/>
    <w:rsid w:val="00127090"/>
    <w:rsid w:val="001273FF"/>
    <w:rsid w:val="0013034A"/>
    <w:rsid w:val="00132DD5"/>
    <w:rsid w:val="00133E18"/>
    <w:rsid w:val="001347CE"/>
    <w:rsid w:val="001349EC"/>
    <w:rsid w:val="00135E15"/>
    <w:rsid w:val="001406A6"/>
    <w:rsid w:val="00145BF1"/>
    <w:rsid w:val="0015319D"/>
    <w:rsid w:val="00153A8E"/>
    <w:rsid w:val="00154E02"/>
    <w:rsid w:val="00157EAE"/>
    <w:rsid w:val="00160BFF"/>
    <w:rsid w:val="001624A3"/>
    <w:rsid w:val="00163164"/>
    <w:rsid w:val="0017153D"/>
    <w:rsid w:val="001728C0"/>
    <w:rsid w:val="00176594"/>
    <w:rsid w:val="0017699C"/>
    <w:rsid w:val="00177B6C"/>
    <w:rsid w:val="00180905"/>
    <w:rsid w:val="00180E75"/>
    <w:rsid w:val="00181A1D"/>
    <w:rsid w:val="00190BA5"/>
    <w:rsid w:val="00190BD3"/>
    <w:rsid w:val="00193467"/>
    <w:rsid w:val="0019422D"/>
    <w:rsid w:val="0019721A"/>
    <w:rsid w:val="001A1444"/>
    <w:rsid w:val="001A4DCC"/>
    <w:rsid w:val="001B0491"/>
    <w:rsid w:val="001B26AB"/>
    <w:rsid w:val="001B3EBB"/>
    <w:rsid w:val="001B534D"/>
    <w:rsid w:val="001C29C4"/>
    <w:rsid w:val="001C5505"/>
    <w:rsid w:val="001C6A6B"/>
    <w:rsid w:val="001D1050"/>
    <w:rsid w:val="001D1B91"/>
    <w:rsid w:val="001D20D8"/>
    <w:rsid w:val="001D2FC6"/>
    <w:rsid w:val="001D4ED4"/>
    <w:rsid w:val="001E001F"/>
    <w:rsid w:val="001E120E"/>
    <w:rsid w:val="001E2301"/>
    <w:rsid w:val="001E5633"/>
    <w:rsid w:val="001E67D6"/>
    <w:rsid w:val="001F0179"/>
    <w:rsid w:val="001F0321"/>
    <w:rsid w:val="001F0AB1"/>
    <w:rsid w:val="001F1E4A"/>
    <w:rsid w:val="001F27DA"/>
    <w:rsid w:val="0020323A"/>
    <w:rsid w:val="00204831"/>
    <w:rsid w:val="002050A3"/>
    <w:rsid w:val="0020589E"/>
    <w:rsid w:val="002061BB"/>
    <w:rsid w:val="0021189D"/>
    <w:rsid w:val="00211DC8"/>
    <w:rsid w:val="00222137"/>
    <w:rsid w:val="00222785"/>
    <w:rsid w:val="00226790"/>
    <w:rsid w:val="00230C18"/>
    <w:rsid w:val="00231506"/>
    <w:rsid w:val="0023309D"/>
    <w:rsid w:val="00233321"/>
    <w:rsid w:val="002345CD"/>
    <w:rsid w:val="00236851"/>
    <w:rsid w:val="00245B20"/>
    <w:rsid w:val="00245BAD"/>
    <w:rsid w:val="00245EF7"/>
    <w:rsid w:val="00246838"/>
    <w:rsid w:val="0025158B"/>
    <w:rsid w:val="00254686"/>
    <w:rsid w:val="002578BF"/>
    <w:rsid w:val="00261E50"/>
    <w:rsid w:val="00262E0C"/>
    <w:rsid w:val="00262E96"/>
    <w:rsid w:val="0026318B"/>
    <w:rsid w:val="00264D05"/>
    <w:rsid w:val="002716FF"/>
    <w:rsid w:val="00273142"/>
    <w:rsid w:val="0027354A"/>
    <w:rsid w:val="00274DDA"/>
    <w:rsid w:val="00276998"/>
    <w:rsid w:val="00276F9D"/>
    <w:rsid w:val="00281427"/>
    <w:rsid w:val="00281BB6"/>
    <w:rsid w:val="0028285B"/>
    <w:rsid w:val="002833FB"/>
    <w:rsid w:val="00283FC0"/>
    <w:rsid w:val="00284778"/>
    <w:rsid w:val="00284C5A"/>
    <w:rsid w:val="00284D14"/>
    <w:rsid w:val="00284EB4"/>
    <w:rsid w:val="00286307"/>
    <w:rsid w:val="0028742F"/>
    <w:rsid w:val="00287883"/>
    <w:rsid w:val="00287F78"/>
    <w:rsid w:val="00291ABB"/>
    <w:rsid w:val="00297068"/>
    <w:rsid w:val="002A0433"/>
    <w:rsid w:val="002A2F76"/>
    <w:rsid w:val="002B2E6F"/>
    <w:rsid w:val="002B6747"/>
    <w:rsid w:val="002B790B"/>
    <w:rsid w:val="002C4CD3"/>
    <w:rsid w:val="002D13C1"/>
    <w:rsid w:val="002D50BD"/>
    <w:rsid w:val="002D5B0A"/>
    <w:rsid w:val="002E26A0"/>
    <w:rsid w:val="002E2EC2"/>
    <w:rsid w:val="002E4D42"/>
    <w:rsid w:val="002E5DC0"/>
    <w:rsid w:val="002E7EF9"/>
    <w:rsid w:val="002F1926"/>
    <w:rsid w:val="002F6A3D"/>
    <w:rsid w:val="002F6F70"/>
    <w:rsid w:val="003024BD"/>
    <w:rsid w:val="003047AE"/>
    <w:rsid w:val="003067B7"/>
    <w:rsid w:val="00307E68"/>
    <w:rsid w:val="0031014F"/>
    <w:rsid w:val="00310FA0"/>
    <w:rsid w:val="003118AD"/>
    <w:rsid w:val="00314828"/>
    <w:rsid w:val="00315520"/>
    <w:rsid w:val="00317C9D"/>
    <w:rsid w:val="00320153"/>
    <w:rsid w:val="003209C7"/>
    <w:rsid w:val="00330AE9"/>
    <w:rsid w:val="00331B42"/>
    <w:rsid w:val="00333FA0"/>
    <w:rsid w:val="00335D68"/>
    <w:rsid w:val="00340423"/>
    <w:rsid w:val="00340F66"/>
    <w:rsid w:val="00341111"/>
    <w:rsid w:val="00343D64"/>
    <w:rsid w:val="00345033"/>
    <w:rsid w:val="003474E8"/>
    <w:rsid w:val="00347C2E"/>
    <w:rsid w:val="00351D17"/>
    <w:rsid w:val="003619EC"/>
    <w:rsid w:val="00364391"/>
    <w:rsid w:val="003646EC"/>
    <w:rsid w:val="0036618B"/>
    <w:rsid w:val="003669A9"/>
    <w:rsid w:val="003676AF"/>
    <w:rsid w:val="00367D76"/>
    <w:rsid w:val="00371085"/>
    <w:rsid w:val="00376008"/>
    <w:rsid w:val="00381FF0"/>
    <w:rsid w:val="00384EEF"/>
    <w:rsid w:val="003854EB"/>
    <w:rsid w:val="0038591F"/>
    <w:rsid w:val="00387AB0"/>
    <w:rsid w:val="00387D05"/>
    <w:rsid w:val="00392BC8"/>
    <w:rsid w:val="00394BC4"/>
    <w:rsid w:val="00395433"/>
    <w:rsid w:val="00396C21"/>
    <w:rsid w:val="003A0F51"/>
    <w:rsid w:val="003A493D"/>
    <w:rsid w:val="003A74A0"/>
    <w:rsid w:val="003A7B5C"/>
    <w:rsid w:val="003B1DCE"/>
    <w:rsid w:val="003B3AFB"/>
    <w:rsid w:val="003B4B9F"/>
    <w:rsid w:val="003C15E2"/>
    <w:rsid w:val="003C1DCA"/>
    <w:rsid w:val="003C25D9"/>
    <w:rsid w:val="003C759C"/>
    <w:rsid w:val="003D3AE9"/>
    <w:rsid w:val="003D68C2"/>
    <w:rsid w:val="003D6DA4"/>
    <w:rsid w:val="003D6E26"/>
    <w:rsid w:val="003D73DC"/>
    <w:rsid w:val="003E32BC"/>
    <w:rsid w:val="003E60E5"/>
    <w:rsid w:val="003E6B3E"/>
    <w:rsid w:val="003E7D35"/>
    <w:rsid w:val="003F2A60"/>
    <w:rsid w:val="003F3837"/>
    <w:rsid w:val="003F3859"/>
    <w:rsid w:val="003F3CBB"/>
    <w:rsid w:val="003F3DCE"/>
    <w:rsid w:val="003F3FA4"/>
    <w:rsid w:val="003F59F2"/>
    <w:rsid w:val="003F7064"/>
    <w:rsid w:val="00404655"/>
    <w:rsid w:val="0040465B"/>
    <w:rsid w:val="00404DAD"/>
    <w:rsid w:val="00405790"/>
    <w:rsid w:val="00406428"/>
    <w:rsid w:val="00406D26"/>
    <w:rsid w:val="004074DF"/>
    <w:rsid w:val="00410B27"/>
    <w:rsid w:val="004119A5"/>
    <w:rsid w:val="00412EAC"/>
    <w:rsid w:val="00414EA3"/>
    <w:rsid w:val="004160A1"/>
    <w:rsid w:val="00420873"/>
    <w:rsid w:val="0043417C"/>
    <w:rsid w:val="00434623"/>
    <w:rsid w:val="0043523C"/>
    <w:rsid w:val="0043534A"/>
    <w:rsid w:val="00437CB7"/>
    <w:rsid w:val="004410B2"/>
    <w:rsid w:val="00443E23"/>
    <w:rsid w:val="00444150"/>
    <w:rsid w:val="00444693"/>
    <w:rsid w:val="004453ED"/>
    <w:rsid w:val="00445966"/>
    <w:rsid w:val="00447665"/>
    <w:rsid w:val="004500DC"/>
    <w:rsid w:val="0045095D"/>
    <w:rsid w:val="00450B29"/>
    <w:rsid w:val="00454950"/>
    <w:rsid w:val="00454E5B"/>
    <w:rsid w:val="004565EA"/>
    <w:rsid w:val="0046077A"/>
    <w:rsid w:val="00461957"/>
    <w:rsid w:val="00462E4E"/>
    <w:rsid w:val="00463678"/>
    <w:rsid w:val="004674CA"/>
    <w:rsid w:val="00473EEA"/>
    <w:rsid w:val="00475CF2"/>
    <w:rsid w:val="004776A0"/>
    <w:rsid w:val="00480FE2"/>
    <w:rsid w:val="00483356"/>
    <w:rsid w:val="004842C4"/>
    <w:rsid w:val="004856F1"/>
    <w:rsid w:val="00486A9A"/>
    <w:rsid w:val="00487B33"/>
    <w:rsid w:val="00491E5F"/>
    <w:rsid w:val="00493E46"/>
    <w:rsid w:val="00494AEB"/>
    <w:rsid w:val="00494C91"/>
    <w:rsid w:val="004954C9"/>
    <w:rsid w:val="00496013"/>
    <w:rsid w:val="00497DCD"/>
    <w:rsid w:val="004A1A5D"/>
    <w:rsid w:val="004A275A"/>
    <w:rsid w:val="004A3504"/>
    <w:rsid w:val="004B1D54"/>
    <w:rsid w:val="004B4873"/>
    <w:rsid w:val="004B5A9D"/>
    <w:rsid w:val="004B6080"/>
    <w:rsid w:val="004B6431"/>
    <w:rsid w:val="004B64DC"/>
    <w:rsid w:val="004C16DB"/>
    <w:rsid w:val="004C35CE"/>
    <w:rsid w:val="004D0287"/>
    <w:rsid w:val="004D115F"/>
    <w:rsid w:val="004D1E7F"/>
    <w:rsid w:val="004D38AF"/>
    <w:rsid w:val="004D3EE5"/>
    <w:rsid w:val="004D53A7"/>
    <w:rsid w:val="004E1936"/>
    <w:rsid w:val="004E4C88"/>
    <w:rsid w:val="004F0074"/>
    <w:rsid w:val="004F16AA"/>
    <w:rsid w:val="004F1F8F"/>
    <w:rsid w:val="004F2AC3"/>
    <w:rsid w:val="004F768C"/>
    <w:rsid w:val="0050425B"/>
    <w:rsid w:val="005043EB"/>
    <w:rsid w:val="00507463"/>
    <w:rsid w:val="005110D5"/>
    <w:rsid w:val="005113FB"/>
    <w:rsid w:val="005137E3"/>
    <w:rsid w:val="00514A16"/>
    <w:rsid w:val="00515854"/>
    <w:rsid w:val="00520EE8"/>
    <w:rsid w:val="005210FF"/>
    <w:rsid w:val="005222CC"/>
    <w:rsid w:val="005244EE"/>
    <w:rsid w:val="00524C7A"/>
    <w:rsid w:val="005305F2"/>
    <w:rsid w:val="00530E66"/>
    <w:rsid w:val="00537E5A"/>
    <w:rsid w:val="005407A5"/>
    <w:rsid w:val="00542CEB"/>
    <w:rsid w:val="00543019"/>
    <w:rsid w:val="005473A2"/>
    <w:rsid w:val="00547C6C"/>
    <w:rsid w:val="00553FFC"/>
    <w:rsid w:val="0055621C"/>
    <w:rsid w:val="005567AC"/>
    <w:rsid w:val="00565C7A"/>
    <w:rsid w:val="00567BD9"/>
    <w:rsid w:val="00567F6D"/>
    <w:rsid w:val="00572B83"/>
    <w:rsid w:val="00573FFD"/>
    <w:rsid w:val="0057461C"/>
    <w:rsid w:val="005762D4"/>
    <w:rsid w:val="00581808"/>
    <w:rsid w:val="0058282D"/>
    <w:rsid w:val="00583179"/>
    <w:rsid w:val="00584C0E"/>
    <w:rsid w:val="00584FBA"/>
    <w:rsid w:val="00585D1C"/>
    <w:rsid w:val="00591A44"/>
    <w:rsid w:val="0059328A"/>
    <w:rsid w:val="00594371"/>
    <w:rsid w:val="00595CF1"/>
    <w:rsid w:val="005A22A6"/>
    <w:rsid w:val="005A3C9E"/>
    <w:rsid w:val="005A7193"/>
    <w:rsid w:val="005A77E8"/>
    <w:rsid w:val="005A7ED4"/>
    <w:rsid w:val="005B028C"/>
    <w:rsid w:val="005B1009"/>
    <w:rsid w:val="005B3A42"/>
    <w:rsid w:val="005C63B0"/>
    <w:rsid w:val="005D318F"/>
    <w:rsid w:val="005D3790"/>
    <w:rsid w:val="005D5466"/>
    <w:rsid w:val="005D6D14"/>
    <w:rsid w:val="005E0729"/>
    <w:rsid w:val="005E07C5"/>
    <w:rsid w:val="005E08F6"/>
    <w:rsid w:val="005E25BD"/>
    <w:rsid w:val="005E3758"/>
    <w:rsid w:val="005E42B3"/>
    <w:rsid w:val="005E6894"/>
    <w:rsid w:val="005F1C60"/>
    <w:rsid w:val="005F4F52"/>
    <w:rsid w:val="005F6236"/>
    <w:rsid w:val="006011D9"/>
    <w:rsid w:val="00601798"/>
    <w:rsid w:val="00603EB1"/>
    <w:rsid w:val="0061002E"/>
    <w:rsid w:val="006106A6"/>
    <w:rsid w:val="00611221"/>
    <w:rsid w:val="00612C07"/>
    <w:rsid w:val="006138D1"/>
    <w:rsid w:val="00616902"/>
    <w:rsid w:val="00622D38"/>
    <w:rsid w:val="00630900"/>
    <w:rsid w:val="00630A40"/>
    <w:rsid w:val="0063191E"/>
    <w:rsid w:val="00631E15"/>
    <w:rsid w:val="00632282"/>
    <w:rsid w:val="00633C85"/>
    <w:rsid w:val="006342B0"/>
    <w:rsid w:val="0064300F"/>
    <w:rsid w:val="00643140"/>
    <w:rsid w:val="00643C78"/>
    <w:rsid w:val="00645F60"/>
    <w:rsid w:val="0064657E"/>
    <w:rsid w:val="0065197A"/>
    <w:rsid w:val="00652EA7"/>
    <w:rsid w:val="006538CD"/>
    <w:rsid w:val="006559BE"/>
    <w:rsid w:val="0066151F"/>
    <w:rsid w:val="00663255"/>
    <w:rsid w:val="00667CF8"/>
    <w:rsid w:val="00667E18"/>
    <w:rsid w:val="0067120F"/>
    <w:rsid w:val="00671237"/>
    <w:rsid w:val="0067153E"/>
    <w:rsid w:val="00672AAC"/>
    <w:rsid w:val="00677BED"/>
    <w:rsid w:val="00686CF2"/>
    <w:rsid w:val="00686EBC"/>
    <w:rsid w:val="00687AC3"/>
    <w:rsid w:val="00690AC7"/>
    <w:rsid w:val="00690AD6"/>
    <w:rsid w:val="00691941"/>
    <w:rsid w:val="0069196C"/>
    <w:rsid w:val="00694E14"/>
    <w:rsid w:val="00695A9E"/>
    <w:rsid w:val="00697C9E"/>
    <w:rsid w:val="006B222A"/>
    <w:rsid w:val="006B31CB"/>
    <w:rsid w:val="006B35CD"/>
    <w:rsid w:val="006C0DF6"/>
    <w:rsid w:val="006C16FF"/>
    <w:rsid w:val="006C27BE"/>
    <w:rsid w:val="006C2B09"/>
    <w:rsid w:val="006C2D7E"/>
    <w:rsid w:val="006C4C1F"/>
    <w:rsid w:val="006C5145"/>
    <w:rsid w:val="006C6ECA"/>
    <w:rsid w:val="006D5708"/>
    <w:rsid w:val="006D5D19"/>
    <w:rsid w:val="006D5EF3"/>
    <w:rsid w:val="006D69BA"/>
    <w:rsid w:val="006E0281"/>
    <w:rsid w:val="006E2A0F"/>
    <w:rsid w:val="006E4A51"/>
    <w:rsid w:val="006E5F9A"/>
    <w:rsid w:val="006F0C29"/>
    <w:rsid w:val="006F1CEA"/>
    <w:rsid w:val="006F4692"/>
    <w:rsid w:val="006F49EE"/>
    <w:rsid w:val="006F4EBF"/>
    <w:rsid w:val="006F4FD8"/>
    <w:rsid w:val="006F669C"/>
    <w:rsid w:val="007034AF"/>
    <w:rsid w:val="00705B16"/>
    <w:rsid w:val="00706CB4"/>
    <w:rsid w:val="00706F22"/>
    <w:rsid w:val="00712750"/>
    <w:rsid w:val="007152FB"/>
    <w:rsid w:val="00715E57"/>
    <w:rsid w:val="00721269"/>
    <w:rsid w:val="00721F08"/>
    <w:rsid w:val="0072426F"/>
    <w:rsid w:val="0073016F"/>
    <w:rsid w:val="00732012"/>
    <w:rsid w:val="00733335"/>
    <w:rsid w:val="00736F94"/>
    <w:rsid w:val="007372DA"/>
    <w:rsid w:val="00737FA2"/>
    <w:rsid w:val="00740C85"/>
    <w:rsid w:val="00741180"/>
    <w:rsid w:val="00743B85"/>
    <w:rsid w:val="00744E6D"/>
    <w:rsid w:val="00747144"/>
    <w:rsid w:val="00754CCB"/>
    <w:rsid w:val="00755593"/>
    <w:rsid w:val="0075562B"/>
    <w:rsid w:val="007611BF"/>
    <w:rsid w:val="00761FCF"/>
    <w:rsid w:val="00764D6A"/>
    <w:rsid w:val="00765131"/>
    <w:rsid w:val="007652ED"/>
    <w:rsid w:val="00766E45"/>
    <w:rsid w:val="00772C05"/>
    <w:rsid w:val="00773056"/>
    <w:rsid w:val="0077480D"/>
    <w:rsid w:val="007769F6"/>
    <w:rsid w:val="0077789D"/>
    <w:rsid w:val="00780526"/>
    <w:rsid w:val="007805ED"/>
    <w:rsid w:val="007821EA"/>
    <w:rsid w:val="0078249F"/>
    <w:rsid w:val="00787808"/>
    <w:rsid w:val="0078781C"/>
    <w:rsid w:val="00792801"/>
    <w:rsid w:val="00792EA8"/>
    <w:rsid w:val="007932A0"/>
    <w:rsid w:val="00794A25"/>
    <w:rsid w:val="007A2746"/>
    <w:rsid w:val="007A4323"/>
    <w:rsid w:val="007A47A3"/>
    <w:rsid w:val="007A622F"/>
    <w:rsid w:val="007A6691"/>
    <w:rsid w:val="007A74CB"/>
    <w:rsid w:val="007B1582"/>
    <w:rsid w:val="007B61DC"/>
    <w:rsid w:val="007C171F"/>
    <w:rsid w:val="007C358A"/>
    <w:rsid w:val="007C45EB"/>
    <w:rsid w:val="007C5E3F"/>
    <w:rsid w:val="007D0CB8"/>
    <w:rsid w:val="007D6F93"/>
    <w:rsid w:val="007E30A2"/>
    <w:rsid w:val="007E43FA"/>
    <w:rsid w:val="007E5CC0"/>
    <w:rsid w:val="007F0B58"/>
    <w:rsid w:val="007F190A"/>
    <w:rsid w:val="007F2D24"/>
    <w:rsid w:val="007F4A48"/>
    <w:rsid w:val="007F5C36"/>
    <w:rsid w:val="00802E0D"/>
    <w:rsid w:val="008030BB"/>
    <w:rsid w:val="00804092"/>
    <w:rsid w:val="008042F2"/>
    <w:rsid w:val="00810107"/>
    <w:rsid w:val="00810423"/>
    <w:rsid w:val="00811789"/>
    <w:rsid w:val="008137D5"/>
    <w:rsid w:val="008147F9"/>
    <w:rsid w:val="00814E0E"/>
    <w:rsid w:val="008164B0"/>
    <w:rsid w:val="00817694"/>
    <w:rsid w:val="008177DB"/>
    <w:rsid w:val="00817B7F"/>
    <w:rsid w:val="0082183A"/>
    <w:rsid w:val="008218C5"/>
    <w:rsid w:val="008302A6"/>
    <w:rsid w:val="008346CA"/>
    <w:rsid w:val="0083553F"/>
    <w:rsid w:val="008360DE"/>
    <w:rsid w:val="0084309B"/>
    <w:rsid w:val="00847824"/>
    <w:rsid w:val="00851C9D"/>
    <w:rsid w:val="0085722E"/>
    <w:rsid w:val="008579D5"/>
    <w:rsid w:val="00857FAE"/>
    <w:rsid w:val="00863C63"/>
    <w:rsid w:val="00866A18"/>
    <w:rsid w:val="008674E7"/>
    <w:rsid w:val="008743C5"/>
    <w:rsid w:val="0087559E"/>
    <w:rsid w:val="008755E5"/>
    <w:rsid w:val="00877E7D"/>
    <w:rsid w:val="008841EE"/>
    <w:rsid w:val="00887056"/>
    <w:rsid w:val="0088758D"/>
    <w:rsid w:val="00887A38"/>
    <w:rsid w:val="00892CC1"/>
    <w:rsid w:val="00893D64"/>
    <w:rsid w:val="00894023"/>
    <w:rsid w:val="00895821"/>
    <w:rsid w:val="008A0EE3"/>
    <w:rsid w:val="008A1A52"/>
    <w:rsid w:val="008A1AD7"/>
    <w:rsid w:val="008A21BC"/>
    <w:rsid w:val="008A7C29"/>
    <w:rsid w:val="008B4919"/>
    <w:rsid w:val="008B7202"/>
    <w:rsid w:val="008C052E"/>
    <w:rsid w:val="008C0BD1"/>
    <w:rsid w:val="008C3AEB"/>
    <w:rsid w:val="008C5CFA"/>
    <w:rsid w:val="008C68E0"/>
    <w:rsid w:val="008C7682"/>
    <w:rsid w:val="008D2F69"/>
    <w:rsid w:val="008D5461"/>
    <w:rsid w:val="008D5A6C"/>
    <w:rsid w:val="008D619B"/>
    <w:rsid w:val="008D62FD"/>
    <w:rsid w:val="008E3331"/>
    <w:rsid w:val="008E361D"/>
    <w:rsid w:val="008E3A49"/>
    <w:rsid w:val="008E56D1"/>
    <w:rsid w:val="008E5896"/>
    <w:rsid w:val="008F0D27"/>
    <w:rsid w:val="008F1504"/>
    <w:rsid w:val="008F2A44"/>
    <w:rsid w:val="008F2A5D"/>
    <w:rsid w:val="008F525F"/>
    <w:rsid w:val="008F7B07"/>
    <w:rsid w:val="00915072"/>
    <w:rsid w:val="0091740B"/>
    <w:rsid w:val="009207B6"/>
    <w:rsid w:val="00921C2B"/>
    <w:rsid w:val="00921E8E"/>
    <w:rsid w:val="0092302F"/>
    <w:rsid w:val="0093033F"/>
    <w:rsid w:val="00930D8A"/>
    <w:rsid w:val="00934908"/>
    <w:rsid w:val="009352E7"/>
    <w:rsid w:val="0093572B"/>
    <w:rsid w:val="0093692D"/>
    <w:rsid w:val="00940760"/>
    <w:rsid w:val="00941669"/>
    <w:rsid w:val="009420E8"/>
    <w:rsid w:val="00942FC7"/>
    <w:rsid w:val="009432C6"/>
    <w:rsid w:val="0094404A"/>
    <w:rsid w:val="00944733"/>
    <w:rsid w:val="0094515B"/>
    <w:rsid w:val="009520FB"/>
    <w:rsid w:val="0095242A"/>
    <w:rsid w:val="0095284D"/>
    <w:rsid w:val="009540ED"/>
    <w:rsid w:val="00956028"/>
    <w:rsid w:val="00956197"/>
    <w:rsid w:val="00957457"/>
    <w:rsid w:val="0096225C"/>
    <w:rsid w:val="00963A14"/>
    <w:rsid w:val="009670B4"/>
    <w:rsid w:val="00971F3D"/>
    <w:rsid w:val="00973CDB"/>
    <w:rsid w:val="00973F3A"/>
    <w:rsid w:val="00980A4A"/>
    <w:rsid w:val="00982DD0"/>
    <w:rsid w:val="00984E0A"/>
    <w:rsid w:val="009922A8"/>
    <w:rsid w:val="009927DA"/>
    <w:rsid w:val="00995FB4"/>
    <w:rsid w:val="009A03E8"/>
    <w:rsid w:val="009A5426"/>
    <w:rsid w:val="009A7B46"/>
    <w:rsid w:val="009A7F10"/>
    <w:rsid w:val="009B10C4"/>
    <w:rsid w:val="009B1812"/>
    <w:rsid w:val="009B34C9"/>
    <w:rsid w:val="009B38C4"/>
    <w:rsid w:val="009C0A44"/>
    <w:rsid w:val="009C1875"/>
    <w:rsid w:val="009C4BD8"/>
    <w:rsid w:val="009C6831"/>
    <w:rsid w:val="009D0B3B"/>
    <w:rsid w:val="009D3A86"/>
    <w:rsid w:val="009D42E4"/>
    <w:rsid w:val="009D5007"/>
    <w:rsid w:val="009E0A55"/>
    <w:rsid w:val="009E2823"/>
    <w:rsid w:val="009E28EF"/>
    <w:rsid w:val="009F062D"/>
    <w:rsid w:val="009F0AD0"/>
    <w:rsid w:val="009F12FF"/>
    <w:rsid w:val="00A001ED"/>
    <w:rsid w:val="00A004D5"/>
    <w:rsid w:val="00A02053"/>
    <w:rsid w:val="00A03135"/>
    <w:rsid w:val="00A03315"/>
    <w:rsid w:val="00A04D71"/>
    <w:rsid w:val="00A053F2"/>
    <w:rsid w:val="00A07182"/>
    <w:rsid w:val="00A07AD1"/>
    <w:rsid w:val="00A14A83"/>
    <w:rsid w:val="00A14AE9"/>
    <w:rsid w:val="00A14CA3"/>
    <w:rsid w:val="00A14FBD"/>
    <w:rsid w:val="00A168B1"/>
    <w:rsid w:val="00A16CA8"/>
    <w:rsid w:val="00A1730D"/>
    <w:rsid w:val="00A175F3"/>
    <w:rsid w:val="00A20A1F"/>
    <w:rsid w:val="00A21277"/>
    <w:rsid w:val="00A255C3"/>
    <w:rsid w:val="00A30971"/>
    <w:rsid w:val="00A329C0"/>
    <w:rsid w:val="00A447AE"/>
    <w:rsid w:val="00A4516E"/>
    <w:rsid w:val="00A459B9"/>
    <w:rsid w:val="00A45C64"/>
    <w:rsid w:val="00A5108F"/>
    <w:rsid w:val="00A51D84"/>
    <w:rsid w:val="00A53D05"/>
    <w:rsid w:val="00A54AE2"/>
    <w:rsid w:val="00A55FC1"/>
    <w:rsid w:val="00A56ACD"/>
    <w:rsid w:val="00A604A9"/>
    <w:rsid w:val="00A61312"/>
    <w:rsid w:val="00A61748"/>
    <w:rsid w:val="00A6180B"/>
    <w:rsid w:val="00A634FD"/>
    <w:rsid w:val="00A63AA6"/>
    <w:rsid w:val="00A76A1B"/>
    <w:rsid w:val="00A81227"/>
    <w:rsid w:val="00A9048A"/>
    <w:rsid w:val="00A9052D"/>
    <w:rsid w:val="00A91307"/>
    <w:rsid w:val="00A92396"/>
    <w:rsid w:val="00A93636"/>
    <w:rsid w:val="00A96547"/>
    <w:rsid w:val="00A976A4"/>
    <w:rsid w:val="00AA146D"/>
    <w:rsid w:val="00AA225E"/>
    <w:rsid w:val="00AA74C6"/>
    <w:rsid w:val="00AB0444"/>
    <w:rsid w:val="00AB24DB"/>
    <w:rsid w:val="00AB28DF"/>
    <w:rsid w:val="00AB4CBC"/>
    <w:rsid w:val="00AB7911"/>
    <w:rsid w:val="00AC056F"/>
    <w:rsid w:val="00AC17E4"/>
    <w:rsid w:val="00AC35F5"/>
    <w:rsid w:val="00AC399F"/>
    <w:rsid w:val="00AC6DF6"/>
    <w:rsid w:val="00AC7928"/>
    <w:rsid w:val="00AD0BA2"/>
    <w:rsid w:val="00AD1FE8"/>
    <w:rsid w:val="00AD3FD2"/>
    <w:rsid w:val="00AD479B"/>
    <w:rsid w:val="00AD5CAC"/>
    <w:rsid w:val="00AE0709"/>
    <w:rsid w:val="00AE2F69"/>
    <w:rsid w:val="00AE33FF"/>
    <w:rsid w:val="00AE4237"/>
    <w:rsid w:val="00AE443C"/>
    <w:rsid w:val="00AE481D"/>
    <w:rsid w:val="00AE69A6"/>
    <w:rsid w:val="00AE7D92"/>
    <w:rsid w:val="00AF4E47"/>
    <w:rsid w:val="00AF5D96"/>
    <w:rsid w:val="00AF7089"/>
    <w:rsid w:val="00AF7F46"/>
    <w:rsid w:val="00B015FF"/>
    <w:rsid w:val="00B02B9B"/>
    <w:rsid w:val="00B05F1F"/>
    <w:rsid w:val="00B05F7F"/>
    <w:rsid w:val="00B068CA"/>
    <w:rsid w:val="00B070CE"/>
    <w:rsid w:val="00B11054"/>
    <w:rsid w:val="00B121FB"/>
    <w:rsid w:val="00B1691D"/>
    <w:rsid w:val="00B204E8"/>
    <w:rsid w:val="00B22CB3"/>
    <w:rsid w:val="00B2357D"/>
    <w:rsid w:val="00B23DF3"/>
    <w:rsid w:val="00B318B0"/>
    <w:rsid w:val="00B3592E"/>
    <w:rsid w:val="00B36226"/>
    <w:rsid w:val="00B36E1A"/>
    <w:rsid w:val="00B37C19"/>
    <w:rsid w:val="00B410D4"/>
    <w:rsid w:val="00B425A2"/>
    <w:rsid w:val="00B557BD"/>
    <w:rsid w:val="00B56D35"/>
    <w:rsid w:val="00B5740E"/>
    <w:rsid w:val="00B642B6"/>
    <w:rsid w:val="00B662EB"/>
    <w:rsid w:val="00B677D7"/>
    <w:rsid w:val="00B705DB"/>
    <w:rsid w:val="00B709D9"/>
    <w:rsid w:val="00B721C5"/>
    <w:rsid w:val="00B82330"/>
    <w:rsid w:val="00B837AC"/>
    <w:rsid w:val="00B84B79"/>
    <w:rsid w:val="00B861B4"/>
    <w:rsid w:val="00B87B44"/>
    <w:rsid w:val="00B87D97"/>
    <w:rsid w:val="00B91831"/>
    <w:rsid w:val="00B91914"/>
    <w:rsid w:val="00B936AB"/>
    <w:rsid w:val="00B94185"/>
    <w:rsid w:val="00B97E61"/>
    <w:rsid w:val="00BA1918"/>
    <w:rsid w:val="00BA597B"/>
    <w:rsid w:val="00BB0118"/>
    <w:rsid w:val="00BB1228"/>
    <w:rsid w:val="00BB1F3E"/>
    <w:rsid w:val="00BB25E9"/>
    <w:rsid w:val="00BB520C"/>
    <w:rsid w:val="00BC0163"/>
    <w:rsid w:val="00BC0624"/>
    <w:rsid w:val="00BC1158"/>
    <w:rsid w:val="00BC1616"/>
    <w:rsid w:val="00BC31DE"/>
    <w:rsid w:val="00BC5441"/>
    <w:rsid w:val="00BC5DCC"/>
    <w:rsid w:val="00BD0CD1"/>
    <w:rsid w:val="00BD365F"/>
    <w:rsid w:val="00BD538D"/>
    <w:rsid w:val="00BE3507"/>
    <w:rsid w:val="00BE4378"/>
    <w:rsid w:val="00BE4C9B"/>
    <w:rsid w:val="00BE561A"/>
    <w:rsid w:val="00BF1596"/>
    <w:rsid w:val="00BF1AA6"/>
    <w:rsid w:val="00BF30A1"/>
    <w:rsid w:val="00BF482E"/>
    <w:rsid w:val="00BF6F3C"/>
    <w:rsid w:val="00BF7120"/>
    <w:rsid w:val="00C003C5"/>
    <w:rsid w:val="00C02519"/>
    <w:rsid w:val="00C04A5F"/>
    <w:rsid w:val="00C06F9E"/>
    <w:rsid w:val="00C105AF"/>
    <w:rsid w:val="00C110BC"/>
    <w:rsid w:val="00C12ACE"/>
    <w:rsid w:val="00C21CA5"/>
    <w:rsid w:val="00C2228F"/>
    <w:rsid w:val="00C238E3"/>
    <w:rsid w:val="00C23EF5"/>
    <w:rsid w:val="00C24361"/>
    <w:rsid w:val="00C25845"/>
    <w:rsid w:val="00C26015"/>
    <w:rsid w:val="00C27EA6"/>
    <w:rsid w:val="00C33358"/>
    <w:rsid w:val="00C40823"/>
    <w:rsid w:val="00C416EC"/>
    <w:rsid w:val="00C43BB0"/>
    <w:rsid w:val="00C443D6"/>
    <w:rsid w:val="00C44D7C"/>
    <w:rsid w:val="00C527FF"/>
    <w:rsid w:val="00C54872"/>
    <w:rsid w:val="00C56719"/>
    <w:rsid w:val="00C60D24"/>
    <w:rsid w:val="00C6246A"/>
    <w:rsid w:val="00C633D0"/>
    <w:rsid w:val="00C753C0"/>
    <w:rsid w:val="00C80134"/>
    <w:rsid w:val="00C819D2"/>
    <w:rsid w:val="00C832DD"/>
    <w:rsid w:val="00C85C62"/>
    <w:rsid w:val="00C86EA0"/>
    <w:rsid w:val="00C91FB7"/>
    <w:rsid w:val="00C9447A"/>
    <w:rsid w:val="00C96927"/>
    <w:rsid w:val="00CA09B9"/>
    <w:rsid w:val="00CA2200"/>
    <w:rsid w:val="00CB13C0"/>
    <w:rsid w:val="00CB18C1"/>
    <w:rsid w:val="00CB3827"/>
    <w:rsid w:val="00CB4CDD"/>
    <w:rsid w:val="00CB4E14"/>
    <w:rsid w:val="00CB63AE"/>
    <w:rsid w:val="00CC041F"/>
    <w:rsid w:val="00CC2F4A"/>
    <w:rsid w:val="00CC415C"/>
    <w:rsid w:val="00CD29E9"/>
    <w:rsid w:val="00CD379D"/>
    <w:rsid w:val="00CD3AC4"/>
    <w:rsid w:val="00CE0D84"/>
    <w:rsid w:val="00CE2A3D"/>
    <w:rsid w:val="00CE3074"/>
    <w:rsid w:val="00CE3B2B"/>
    <w:rsid w:val="00CE4288"/>
    <w:rsid w:val="00CE4327"/>
    <w:rsid w:val="00CF4CCA"/>
    <w:rsid w:val="00CF7ABA"/>
    <w:rsid w:val="00D03144"/>
    <w:rsid w:val="00D05086"/>
    <w:rsid w:val="00D05D12"/>
    <w:rsid w:val="00D078EC"/>
    <w:rsid w:val="00D07F7D"/>
    <w:rsid w:val="00D1032B"/>
    <w:rsid w:val="00D1208C"/>
    <w:rsid w:val="00D1290E"/>
    <w:rsid w:val="00D13E75"/>
    <w:rsid w:val="00D15851"/>
    <w:rsid w:val="00D21434"/>
    <w:rsid w:val="00D227F2"/>
    <w:rsid w:val="00D22E16"/>
    <w:rsid w:val="00D255A4"/>
    <w:rsid w:val="00D3262E"/>
    <w:rsid w:val="00D34EEA"/>
    <w:rsid w:val="00D35165"/>
    <w:rsid w:val="00D41BDD"/>
    <w:rsid w:val="00D4259C"/>
    <w:rsid w:val="00D42E6F"/>
    <w:rsid w:val="00D43BF5"/>
    <w:rsid w:val="00D44F6C"/>
    <w:rsid w:val="00D4576A"/>
    <w:rsid w:val="00D469B1"/>
    <w:rsid w:val="00D47121"/>
    <w:rsid w:val="00D55CCB"/>
    <w:rsid w:val="00D60340"/>
    <w:rsid w:val="00D638B0"/>
    <w:rsid w:val="00D65CD1"/>
    <w:rsid w:val="00D65E58"/>
    <w:rsid w:val="00D6626A"/>
    <w:rsid w:val="00D6633A"/>
    <w:rsid w:val="00D67083"/>
    <w:rsid w:val="00D70EFB"/>
    <w:rsid w:val="00D72DA0"/>
    <w:rsid w:val="00D7421B"/>
    <w:rsid w:val="00D74D1A"/>
    <w:rsid w:val="00D820F7"/>
    <w:rsid w:val="00D836B8"/>
    <w:rsid w:val="00D838F6"/>
    <w:rsid w:val="00D84BB4"/>
    <w:rsid w:val="00D866EB"/>
    <w:rsid w:val="00D875C8"/>
    <w:rsid w:val="00D961F4"/>
    <w:rsid w:val="00D965F2"/>
    <w:rsid w:val="00DA0A42"/>
    <w:rsid w:val="00DA44BC"/>
    <w:rsid w:val="00DA54C3"/>
    <w:rsid w:val="00DA6912"/>
    <w:rsid w:val="00DA71B8"/>
    <w:rsid w:val="00DB0CC7"/>
    <w:rsid w:val="00DB2DCB"/>
    <w:rsid w:val="00DB4573"/>
    <w:rsid w:val="00DB6257"/>
    <w:rsid w:val="00DB6CC5"/>
    <w:rsid w:val="00DC1BFF"/>
    <w:rsid w:val="00DC434E"/>
    <w:rsid w:val="00DC59B3"/>
    <w:rsid w:val="00DD0FC4"/>
    <w:rsid w:val="00DD1725"/>
    <w:rsid w:val="00DD1BE8"/>
    <w:rsid w:val="00DD3E3F"/>
    <w:rsid w:val="00DD538D"/>
    <w:rsid w:val="00DD55CB"/>
    <w:rsid w:val="00DE28A5"/>
    <w:rsid w:val="00DE4252"/>
    <w:rsid w:val="00DE4487"/>
    <w:rsid w:val="00DE6810"/>
    <w:rsid w:val="00DE7ABB"/>
    <w:rsid w:val="00DF0386"/>
    <w:rsid w:val="00DF1983"/>
    <w:rsid w:val="00DF3FE5"/>
    <w:rsid w:val="00DF48EE"/>
    <w:rsid w:val="00DF511B"/>
    <w:rsid w:val="00DF618C"/>
    <w:rsid w:val="00DF6B3D"/>
    <w:rsid w:val="00E01E84"/>
    <w:rsid w:val="00E07D7A"/>
    <w:rsid w:val="00E11F63"/>
    <w:rsid w:val="00E11F97"/>
    <w:rsid w:val="00E135B2"/>
    <w:rsid w:val="00E17048"/>
    <w:rsid w:val="00E17F21"/>
    <w:rsid w:val="00E20810"/>
    <w:rsid w:val="00E24BF2"/>
    <w:rsid w:val="00E254B3"/>
    <w:rsid w:val="00E25849"/>
    <w:rsid w:val="00E25F06"/>
    <w:rsid w:val="00E27CD9"/>
    <w:rsid w:val="00E3254C"/>
    <w:rsid w:val="00E335FC"/>
    <w:rsid w:val="00E369C1"/>
    <w:rsid w:val="00E409F9"/>
    <w:rsid w:val="00E4189F"/>
    <w:rsid w:val="00E44880"/>
    <w:rsid w:val="00E45E10"/>
    <w:rsid w:val="00E51E22"/>
    <w:rsid w:val="00E54D8F"/>
    <w:rsid w:val="00E60D8F"/>
    <w:rsid w:val="00E635D2"/>
    <w:rsid w:val="00E63B16"/>
    <w:rsid w:val="00E63FD5"/>
    <w:rsid w:val="00E64D80"/>
    <w:rsid w:val="00E65458"/>
    <w:rsid w:val="00E65A4E"/>
    <w:rsid w:val="00E67315"/>
    <w:rsid w:val="00E67695"/>
    <w:rsid w:val="00E70840"/>
    <w:rsid w:val="00E71681"/>
    <w:rsid w:val="00E7176C"/>
    <w:rsid w:val="00E73408"/>
    <w:rsid w:val="00E83E1B"/>
    <w:rsid w:val="00E855BE"/>
    <w:rsid w:val="00E858DD"/>
    <w:rsid w:val="00E91D72"/>
    <w:rsid w:val="00E92A59"/>
    <w:rsid w:val="00E9406E"/>
    <w:rsid w:val="00E94FE0"/>
    <w:rsid w:val="00E95875"/>
    <w:rsid w:val="00EA3941"/>
    <w:rsid w:val="00EB1105"/>
    <w:rsid w:val="00EB13B3"/>
    <w:rsid w:val="00EB1E60"/>
    <w:rsid w:val="00EB3166"/>
    <w:rsid w:val="00EB5F13"/>
    <w:rsid w:val="00EC2F24"/>
    <w:rsid w:val="00EC38E4"/>
    <w:rsid w:val="00EC3A7D"/>
    <w:rsid w:val="00EC40D3"/>
    <w:rsid w:val="00EC5887"/>
    <w:rsid w:val="00EC71EF"/>
    <w:rsid w:val="00ED3CCB"/>
    <w:rsid w:val="00ED78B3"/>
    <w:rsid w:val="00ED79D3"/>
    <w:rsid w:val="00EE16AE"/>
    <w:rsid w:val="00EE1C51"/>
    <w:rsid w:val="00EE1D26"/>
    <w:rsid w:val="00EE31DA"/>
    <w:rsid w:val="00EE3E98"/>
    <w:rsid w:val="00EE4833"/>
    <w:rsid w:val="00EE6DBE"/>
    <w:rsid w:val="00EF05F3"/>
    <w:rsid w:val="00EF19C8"/>
    <w:rsid w:val="00EF4B1B"/>
    <w:rsid w:val="00EF4FEE"/>
    <w:rsid w:val="00EF55CC"/>
    <w:rsid w:val="00F01FCB"/>
    <w:rsid w:val="00F026C3"/>
    <w:rsid w:val="00F02E2B"/>
    <w:rsid w:val="00F042E6"/>
    <w:rsid w:val="00F04729"/>
    <w:rsid w:val="00F06FC0"/>
    <w:rsid w:val="00F12463"/>
    <w:rsid w:val="00F12F74"/>
    <w:rsid w:val="00F13FD0"/>
    <w:rsid w:val="00F16828"/>
    <w:rsid w:val="00F176EC"/>
    <w:rsid w:val="00F178A1"/>
    <w:rsid w:val="00F22CA8"/>
    <w:rsid w:val="00F23B5B"/>
    <w:rsid w:val="00F26673"/>
    <w:rsid w:val="00F27E7B"/>
    <w:rsid w:val="00F326D3"/>
    <w:rsid w:val="00F33E94"/>
    <w:rsid w:val="00F33FE2"/>
    <w:rsid w:val="00F3414A"/>
    <w:rsid w:val="00F3594F"/>
    <w:rsid w:val="00F40AF8"/>
    <w:rsid w:val="00F4326C"/>
    <w:rsid w:val="00F509E9"/>
    <w:rsid w:val="00F51EEE"/>
    <w:rsid w:val="00F52347"/>
    <w:rsid w:val="00F5390C"/>
    <w:rsid w:val="00F546B7"/>
    <w:rsid w:val="00F55286"/>
    <w:rsid w:val="00F55782"/>
    <w:rsid w:val="00F57C28"/>
    <w:rsid w:val="00F62572"/>
    <w:rsid w:val="00F62D21"/>
    <w:rsid w:val="00F72EE7"/>
    <w:rsid w:val="00F73F09"/>
    <w:rsid w:val="00F7707C"/>
    <w:rsid w:val="00F81E2A"/>
    <w:rsid w:val="00F82F27"/>
    <w:rsid w:val="00F83394"/>
    <w:rsid w:val="00F84A47"/>
    <w:rsid w:val="00F85644"/>
    <w:rsid w:val="00F867A9"/>
    <w:rsid w:val="00F9018E"/>
    <w:rsid w:val="00F92F96"/>
    <w:rsid w:val="00F92FFA"/>
    <w:rsid w:val="00FA1CEA"/>
    <w:rsid w:val="00FA2743"/>
    <w:rsid w:val="00FA2FF2"/>
    <w:rsid w:val="00FB3599"/>
    <w:rsid w:val="00FC1759"/>
    <w:rsid w:val="00FC1B24"/>
    <w:rsid w:val="00FC4260"/>
    <w:rsid w:val="00FC7AE1"/>
    <w:rsid w:val="00FD2242"/>
    <w:rsid w:val="00FD26B7"/>
    <w:rsid w:val="00FD2D4B"/>
    <w:rsid w:val="00FD37AC"/>
    <w:rsid w:val="00FD4272"/>
    <w:rsid w:val="00FD4275"/>
    <w:rsid w:val="00FD6730"/>
    <w:rsid w:val="00FE261D"/>
    <w:rsid w:val="00FE274C"/>
    <w:rsid w:val="00FE64BC"/>
    <w:rsid w:val="00FE75A9"/>
    <w:rsid w:val="00FF1E24"/>
    <w:rsid w:val="00FF201E"/>
    <w:rsid w:val="00FF4FC8"/>
    <w:rsid w:val="00FF77C3"/>
    <w:rsid w:val="035CD539"/>
    <w:rsid w:val="03CB5B96"/>
    <w:rsid w:val="03ED88DF"/>
    <w:rsid w:val="04362CAA"/>
    <w:rsid w:val="044AA164"/>
    <w:rsid w:val="04F83CB0"/>
    <w:rsid w:val="0615FD3B"/>
    <w:rsid w:val="06A14475"/>
    <w:rsid w:val="06AD2F43"/>
    <w:rsid w:val="06D0B2DA"/>
    <w:rsid w:val="07903CB6"/>
    <w:rsid w:val="093BFF00"/>
    <w:rsid w:val="096307ED"/>
    <w:rsid w:val="097C3107"/>
    <w:rsid w:val="09AB121E"/>
    <w:rsid w:val="09E5A696"/>
    <w:rsid w:val="0AA207F2"/>
    <w:rsid w:val="0ACC3EA7"/>
    <w:rsid w:val="0ADB2EDE"/>
    <w:rsid w:val="0B0CB884"/>
    <w:rsid w:val="0BDF506A"/>
    <w:rsid w:val="0D554964"/>
    <w:rsid w:val="0D87D44C"/>
    <w:rsid w:val="0DD8D20A"/>
    <w:rsid w:val="0E144282"/>
    <w:rsid w:val="0E7B8726"/>
    <w:rsid w:val="0EF3C570"/>
    <w:rsid w:val="10F5646F"/>
    <w:rsid w:val="118F150B"/>
    <w:rsid w:val="11A50C68"/>
    <w:rsid w:val="121CA0A9"/>
    <w:rsid w:val="13138E42"/>
    <w:rsid w:val="13B6DBED"/>
    <w:rsid w:val="1422012A"/>
    <w:rsid w:val="1491EBDC"/>
    <w:rsid w:val="1559A205"/>
    <w:rsid w:val="16ABA3EF"/>
    <w:rsid w:val="17A4390C"/>
    <w:rsid w:val="180F6FD4"/>
    <w:rsid w:val="18DFF356"/>
    <w:rsid w:val="1989B4B9"/>
    <w:rsid w:val="1A51A638"/>
    <w:rsid w:val="1AB88E05"/>
    <w:rsid w:val="1AB9E909"/>
    <w:rsid w:val="1B04A0BE"/>
    <w:rsid w:val="1BD8FEDB"/>
    <w:rsid w:val="1BF85935"/>
    <w:rsid w:val="1C314032"/>
    <w:rsid w:val="1DE12580"/>
    <w:rsid w:val="1E02CF34"/>
    <w:rsid w:val="1F58D4C2"/>
    <w:rsid w:val="20175F7E"/>
    <w:rsid w:val="20C447D5"/>
    <w:rsid w:val="21F19240"/>
    <w:rsid w:val="2520C528"/>
    <w:rsid w:val="25A1B202"/>
    <w:rsid w:val="25C4AD73"/>
    <w:rsid w:val="275DD0E7"/>
    <w:rsid w:val="28C693CA"/>
    <w:rsid w:val="29523A72"/>
    <w:rsid w:val="2B2A4CC8"/>
    <w:rsid w:val="2B851B6E"/>
    <w:rsid w:val="2BAD6E0E"/>
    <w:rsid w:val="2CD0B630"/>
    <w:rsid w:val="2E9FD693"/>
    <w:rsid w:val="2F3FB259"/>
    <w:rsid w:val="30E3E7CD"/>
    <w:rsid w:val="310C6535"/>
    <w:rsid w:val="31563B99"/>
    <w:rsid w:val="31D94110"/>
    <w:rsid w:val="31E103FC"/>
    <w:rsid w:val="32C8318D"/>
    <w:rsid w:val="33367220"/>
    <w:rsid w:val="34DBD966"/>
    <w:rsid w:val="3634CE11"/>
    <w:rsid w:val="380A3ABF"/>
    <w:rsid w:val="38447092"/>
    <w:rsid w:val="38644E03"/>
    <w:rsid w:val="388F4E64"/>
    <w:rsid w:val="3940EBAD"/>
    <w:rsid w:val="396DB8A8"/>
    <w:rsid w:val="39F12F4D"/>
    <w:rsid w:val="3B4B1FED"/>
    <w:rsid w:val="3B6CB983"/>
    <w:rsid w:val="3D9CE8B0"/>
    <w:rsid w:val="3E80439E"/>
    <w:rsid w:val="407EB5F1"/>
    <w:rsid w:val="41DECADD"/>
    <w:rsid w:val="420566C1"/>
    <w:rsid w:val="4219AE12"/>
    <w:rsid w:val="424B44D4"/>
    <w:rsid w:val="4344A4B3"/>
    <w:rsid w:val="435B40A5"/>
    <w:rsid w:val="44628968"/>
    <w:rsid w:val="44FE80A0"/>
    <w:rsid w:val="45B2C071"/>
    <w:rsid w:val="45C55B87"/>
    <w:rsid w:val="46B862DC"/>
    <w:rsid w:val="47194AF7"/>
    <w:rsid w:val="47816005"/>
    <w:rsid w:val="480EFE38"/>
    <w:rsid w:val="483A8DFC"/>
    <w:rsid w:val="48AFBEA1"/>
    <w:rsid w:val="49BCA698"/>
    <w:rsid w:val="49C3168A"/>
    <w:rsid w:val="49ECDF5F"/>
    <w:rsid w:val="4A10FB9A"/>
    <w:rsid w:val="4AFA2DB1"/>
    <w:rsid w:val="4B1BC6B9"/>
    <w:rsid w:val="4BDC0138"/>
    <w:rsid w:val="4BFCADEE"/>
    <w:rsid w:val="4CAE4E20"/>
    <w:rsid w:val="4DFAE2AA"/>
    <w:rsid w:val="4E4EC99E"/>
    <w:rsid w:val="4E5978EF"/>
    <w:rsid w:val="4EC78584"/>
    <w:rsid w:val="4EC966CA"/>
    <w:rsid w:val="4F6D5C21"/>
    <w:rsid w:val="4FA5C164"/>
    <w:rsid w:val="4FD0C376"/>
    <w:rsid w:val="5097529D"/>
    <w:rsid w:val="50FE3573"/>
    <w:rsid w:val="5172FCC4"/>
    <w:rsid w:val="517C7657"/>
    <w:rsid w:val="51A3CF6D"/>
    <w:rsid w:val="51B4C8A3"/>
    <w:rsid w:val="51E6FF83"/>
    <w:rsid w:val="522DD617"/>
    <w:rsid w:val="525F72D9"/>
    <w:rsid w:val="532A1DEC"/>
    <w:rsid w:val="5553B925"/>
    <w:rsid w:val="55DCCD8D"/>
    <w:rsid w:val="565CAC56"/>
    <w:rsid w:val="583CF7D8"/>
    <w:rsid w:val="5860074C"/>
    <w:rsid w:val="58C8830B"/>
    <w:rsid w:val="59420B78"/>
    <w:rsid w:val="59EF5C1B"/>
    <w:rsid w:val="5B26B160"/>
    <w:rsid w:val="5E8A1514"/>
    <w:rsid w:val="5F96F2B5"/>
    <w:rsid w:val="6010DBAD"/>
    <w:rsid w:val="60B8FDAE"/>
    <w:rsid w:val="60FF8F7E"/>
    <w:rsid w:val="61F6248E"/>
    <w:rsid w:val="6264C6EC"/>
    <w:rsid w:val="62C958B5"/>
    <w:rsid w:val="6409B271"/>
    <w:rsid w:val="640F098D"/>
    <w:rsid w:val="64113F43"/>
    <w:rsid w:val="64351206"/>
    <w:rsid w:val="6438F58A"/>
    <w:rsid w:val="65C0B39A"/>
    <w:rsid w:val="664047E3"/>
    <w:rsid w:val="6686B8FA"/>
    <w:rsid w:val="66D45EC1"/>
    <w:rsid w:val="678873E6"/>
    <w:rsid w:val="69C5E42D"/>
    <w:rsid w:val="6A009202"/>
    <w:rsid w:val="6B592C5B"/>
    <w:rsid w:val="6B97644B"/>
    <w:rsid w:val="6CE21F48"/>
    <w:rsid w:val="6DE49999"/>
    <w:rsid w:val="6E7EB6F6"/>
    <w:rsid w:val="6F8DA073"/>
    <w:rsid w:val="6FAB722A"/>
    <w:rsid w:val="6FD8A92B"/>
    <w:rsid w:val="706A9EFE"/>
    <w:rsid w:val="70D56CF0"/>
    <w:rsid w:val="719BB894"/>
    <w:rsid w:val="72C2B01F"/>
    <w:rsid w:val="73BB2F3F"/>
    <w:rsid w:val="74BCACE8"/>
    <w:rsid w:val="75203578"/>
    <w:rsid w:val="7562FBA9"/>
    <w:rsid w:val="75694FF1"/>
    <w:rsid w:val="774156E2"/>
    <w:rsid w:val="79361AF4"/>
    <w:rsid w:val="799043A9"/>
    <w:rsid w:val="7B9534C1"/>
    <w:rsid w:val="7BB6AA3C"/>
    <w:rsid w:val="7C0E7E9C"/>
    <w:rsid w:val="7C2C90EC"/>
    <w:rsid w:val="7CA7783A"/>
    <w:rsid w:val="7CBA8DD3"/>
    <w:rsid w:val="7CD6B9B9"/>
    <w:rsid w:val="7CF847A9"/>
    <w:rsid w:val="7D7728DB"/>
    <w:rsid w:val="7E42A319"/>
    <w:rsid w:val="7EA4BDE1"/>
    <w:rsid w:val="7EEF298C"/>
    <w:rsid w:val="7FBBA9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EFB41"/>
  <w15:docId w15:val="{926DCC57-CDBE-470D-AE7D-67BF08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iPriority="26"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255"/>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72"/>
      <w:szCs w:val="28"/>
      <w:lang w:eastAsia="en-US"/>
    </w:rPr>
  </w:style>
  <w:style w:type="paragraph" w:styleId="Heading2">
    <w:name w:val="heading 2"/>
    <w:basedOn w:val="Normal"/>
    <w:next w:val="Normal"/>
    <w:link w:val="Heading2Char"/>
    <w:uiPriority w:val="3"/>
    <w:pPr>
      <w:pageBreakBefore/>
      <w:numPr>
        <w:numId w:val="11"/>
      </w:numPr>
      <w:spacing w:after="240" w:line="240" w:lineRule="auto"/>
      <w:outlineLvl w:val="1"/>
    </w:pPr>
    <w:rPr>
      <w:rFonts w:ascii="Calibri" w:eastAsiaTheme="minorEastAsia" w:hAnsi="Calibri"/>
      <w:bCs/>
      <w:color w:val="000000"/>
      <w:sz w:val="56"/>
      <w:szCs w:val="28"/>
      <w:lang w:eastAsia="ja-JP"/>
    </w:rPr>
  </w:style>
  <w:style w:type="paragraph" w:styleId="Heading3">
    <w:name w:val="heading 3"/>
    <w:next w:val="Normal"/>
    <w:link w:val="Heading3Char"/>
    <w:uiPriority w:val="4"/>
    <w:qFormat/>
    <w:rsid w:val="00B56D35"/>
    <w:pPr>
      <w:keepNext/>
      <w:keepLines/>
      <w:numPr>
        <w:ilvl w:val="1"/>
        <w:numId w:val="11"/>
      </w:numPr>
      <w:spacing w:after="120"/>
      <w:ind w:left="964"/>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611221"/>
    <w:pPr>
      <w:keepNext/>
      <w:numPr>
        <w:ilvl w:val="2"/>
        <w:numId w:val="11"/>
      </w:numPr>
      <w:spacing w:before="120" w:after="120"/>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99"/>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99"/>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7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Cs/>
      <w:color w:val="000000"/>
      <w:sz w:val="56"/>
      <w:szCs w:val="28"/>
      <w:lang w:eastAsia="ja-JP"/>
    </w:rPr>
  </w:style>
  <w:style w:type="character" w:customStyle="1" w:styleId="Heading3Char">
    <w:name w:val="Heading 3 Char"/>
    <w:basedOn w:val="DefaultParagraphFont"/>
    <w:link w:val="Heading3"/>
    <w:uiPriority w:val="4"/>
    <w:rsid w:val="00B56D35"/>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611221"/>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56"/>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56"/>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4"/>
      </w:num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ilvl w:val="1"/>
        <w:numId w:val="4"/>
      </w:numPr>
      <w:spacing w:before="120" w:after="120"/>
      <w:contextualSpacing/>
    </w:pPr>
  </w:style>
  <w:style w:type="paragraph" w:styleId="ListNumber">
    <w:name w:val="List Number"/>
    <w:basedOn w:val="Normal"/>
    <w:uiPriority w:val="9"/>
    <w:qFormat/>
    <w:pPr>
      <w:numPr>
        <w:numId w:val="8"/>
      </w:numPr>
      <w:tabs>
        <w:tab w:val="left" w:pos="142"/>
      </w:tabs>
      <w:spacing w:before="120" w:after="120"/>
    </w:pPr>
  </w:style>
  <w:style w:type="paragraph" w:styleId="ListNumber2">
    <w:name w:val="List Number 2"/>
    <w:uiPriority w:val="10"/>
    <w:qFormat/>
    <w:pPr>
      <w:numPr>
        <w:ilvl w:val="1"/>
        <w:numId w:val="8"/>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22"/>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2"/>
      </w:numPr>
      <w:ind w:left="357" w:hanging="357"/>
    </w:pPr>
  </w:style>
  <w:style w:type="paragraph" w:customStyle="1" w:styleId="TableBullet1">
    <w:name w:val="Table Bullet 1"/>
    <w:basedOn w:val="TableText"/>
    <w:uiPriority w:val="15"/>
    <w:qFormat/>
    <w:pPr>
      <w:numPr>
        <w:numId w:val="3"/>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4"/>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5"/>
      </w:numPr>
    </w:pPr>
  </w:style>
  <w:style w:type="numbering" w:customStyle="1" w:styleId="Headinglist">
    <w:name w:val="Heading list"/>
    <w:uiPriority w:val="99"/>
    <w:pPr>
      <w:numPr>
        <w:numId w:val="6"/>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semiHidden/>
    <w:pPr>
      <w:numPr>
        <w:ilvl w:val="2"/>
        <w:numId w:val="4"/>
      </w:numPr>
      <w:tabs>
        <w:tab w:val="num" w:pos="360"/>
      </w:tabs>
      <w:ind w:left="0" w:firstLine="0"/>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numberedlist">
    <w:name w:val="Table numbered list"/>
    <w:uiPriority w:val="99"/>
    <w:qFormat/>
    <w:pPr>
      <w:numPr>
        <w:numId w:val="7"/>
      </w:numPr>
      <w:spacing w:before="60" w:after="60"/>
      <w:ind w:left="403"/>
      <w:contextualSpacing/>
    </w:pPr>
    <w:rPr>
      <w:rFonts w:eastAsia="Calibri"/>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10"/>
      </w:numPr>
      <w:tabs>
        <w:tab w:val="num" w:pos="284"/>
      </w:tabs>
      <w:ind w:left="568" w:hanging="284"/>
    </w:pPr>
  </w:style>
  <w:style w:type="numbering" w:customStyle="1" w:styleId="TableBulletlist">
    <w:name w:val="Table Bullet list"/>
    <w:uiPriority w:val="99"/>
    <w:pPr>
      <w:numPr>
        <w:numId w:val="9"/>
      </w:numPr>
    </w:pPr>
  </w:style>
  <w:style w:type="character" w:customStyle="1" w:styleId="UnresolvedMention1">
    <w:name w:val="Unresolved Mention1"/>
    <w:basedOn w:val="DefaultParagraphFont"/>
    <w:uiPriority w:val="99"/>
    <w:semiHidden/>
    <w:unhideWhenUsed/>
    <w:rsid w:val="00EE4833"/>
    <w:rPr>
      <w:color w:val="605E5C"/>
      <w:shd w:val="clear" w:color="auto" w:fill="E1DFDD"/>
    </w:rPr>
  </w:style>
  <w:style w:type="character" w:styleId="SubtleEmphasis">
    <w:name w:val="Subtle Emphasis"/>
    <w:basedOn w:val="DefaultParagraphFont"/>
    <w:uiPriority w:val="19"/>
    <w:qFormat/>
    <w:rsid w:val="009C6831"/>
    <w:rPr>
      <w:i/>
      <w:iCs/>
      <w:color w:val="404040" w:themeColor="text1" w:themeTint="BF"/>
    </w:rPr>
  </w:style>
  <w:style w:type="paragraph" w:styleId="Revision">
    <w:name w:val="Revision"/>
    <w:hidden/>
    <w:uiPriority w:val="99"/>
    <w:semiHidden/>
    <w:rsid w:val="004D3EE5"/>
    <w:rPr>
      <w:rFonts w:eastAsiaTheme="minorHAnsi" w:cstheme="minorBidi"/>
      <w:sz w:val="22"/>
      <w:szCs w:val="22"/>
      <w:lang w:eastAsia="en-US"/>
    </w:rPr>
  </w:style>
  <w:style w:type="paragraph" w:styleId="ListParagraph">
    <w:name w:val="List Paragraph"/>
    <w:basedOn w:val="Normal"/>
    <w:uiPriority w:val="99"/>
    <w:qFormat/>
    <w:rsid w:val="000509C8"/>
    <w:pPr>
      <w:ind w:left="720"/>
      <w:contextualSpacing/>
    </w:pPr>
  </w:style>
  <w:style w:type="character" w:customStyle="1" w:styleId="UnresolvedMention2">
    <w:name w:val="Unresolved Mention2"/>
    <w:basedOn w:val="DefaultParagraphFont"/>
    <w:uiPriority w:val="99"/>
    <w:rsid w:val="00733335"/>
    <w:rPr>
      <w:color w:val="605E5C"/>
      <w:shd w:val="clear" w:color="auto" w:fill="E1DFDD"/>
    </w:rPr>
  </w:style>
  <w:style w:type="character" w:styleId="UnresolvedMention">
    <w:name w:val="Unresolved Mention"/>
    <w:basedOn w:val="DefaultParagraphFont"/>
    <w:uiPriority w:val="99"/>
    <w:rsid w:val="00BC0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6438">
      <w:bodyDiv w:val="1"/>
      <w:marLeft w:val="0"/>
      <w:marRight w:val="0"/>
      <w:marTop w:val="0"/>
      <w:marBottom w:val="0"/>
      <w:divBdr>
        <w:top w:val="none" w:sz="0" w:space="0" w:color="auto"/>
        <w:left w:val="none" w:sz="0" w:space="0" w:color="auto"/>
        <w:bottom w:val="none" w:sz="0" w:space="0" w:color="auto"/>
        <w:right w:val="none" w:sz="0" w:space="0" w:color="auto"/>
      </w:divBdr>
    </w:div>
    <w:div w:id="373970139">
      <w:bodyDiv w:val="1"/>
      <w:marLeft w:val="0"/>
      <w:marRight w:val="0"/>
      <w:marTop w:val="0"/>
      <w:marBottom w:val="0"/>
      <w:divBdr>
        <w:top w:val="none" w:sz="0" w:space="0" w:color="auto"/>
        <w:left w:val="none" w:sz="0" w:space="0" w:color="auto"/>
        <w:bottom w:val="none" w:sz="0" w:space="0" w:color="auto"/>
        <w:right w:val="none" w:sz="0" w:space="0" w:color="auto"/>
      </w:divBdr>
    </w:div>
    <w:div w:id="574750873">
      <w:bodyDiv w:val="1"/>
      <w:marLeft w:val="0"/>
      <w:marRight w:val="0"/>
      <w:marTop w:val="0"/>
      <w:marBottom w:val="0"/>
      <w:divBdr>
        <w:top w:val="none" w:sz="0" w:space="0" w:color="auto"/>
        <w:left w:val="none" w:sz="0" w:space="0" w:color="auto"/>
        <w:bottom w:val="none" w:sz="0" w:space="0" w:color="auto"/>
        <w:right w:val="none" w:sz="0" w:space="0" w:color="auto"/>
      </w:divBdr>
    </w:div>
    <w:div w:id="652224887">
      <w:bodyDiv w:val="1"/>
      <w:marLeft w:val="0"/>
      <w:marRight w:val="0"/>
      <w:marTop w:val="0"/>
      <w:marBottom w:val="0"/>
      <w:divBdr>
        <w:top w:val="none" w:sz="0" w:space="0" w:color="auto"/>
        <w:left w:val="none" w:sz="0" w:space="0" w:color="auto"/>
        <w:bottom w:val="none" w:sz="0" w:space="0" w:color="auto"/>
        <w:right w:val="none" w:sz="0" w:space="0" w:color="auto"/>
      </w:divBdr>
    </w:div>
    <w:div w:id="6609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dcceew.gov.au" TargetMode="External"/><Relationship Id="rId26" Type="http://schemas.openxmlformats.org/officeDocument/2006/relationships/hyperlink" Target="mailto:welscompliance@dcceew.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copyright@dcceew.gov.au" TargetMode="External"/><Relationship Id="rId17" Type="http://schemas.openxmlformats.org/officeDocument/2006/relationships/hyperlink" Target="https://www.waterrating.gov.au/" TargetMode="External"/><Relationship Id="rId25" Type="http://schemas.openxmlformats.org/officeDocument/2006/relationships/hyperlink" Target="https://www.waterrating.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waterrating.gov.au/enforce/penalties/infringement-notice-stat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dcceew.gov.au/about/new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mediateam@dcceew.gov.a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ag.gov.au/integrity/publications/australian-government-investigations-stand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dcceew.gov.au/about/reporting/freedom-of-information/reques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1c2681-db7b-4a56-9abd-a3238a78f6b2">
      <Terms xmlns="http://schemas.microsoft.com/office/infopath/2007/PartnerControls"/>
    </lcf76f155ced4ddcb4097134ff3c332f>
    <_ip_UnifiedCompliancePolicyUIAction xmlns="http://schemas.microsoft.com/sharepoint/v3" xsi:nil="true"/>
    <TaxCatchAll xmlns="e8238601-ce47-4778-85d0-8b1d6564965a"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6" ma:contentTypeDescription="Create a new document." ma:contentTypeScope="" ma:versionID="f15c367ea62a4320fa3673a54427ab86">
  <xsd:schema xmlns:xsd="http://www.w3.org/2001/XMLSchema" xmlns:xs="http://www.w3.org/2001/XMLSchema" xmlns:p="http://schemas.microsoft.com/office/2006/metadata/properties" xmlns:ns1="http://schemas.microsoft.com/sharepoint/v3" xmlns:ns2="b98728ac-f998-415c-abee-6b046fb1441e" xmlns:ns3="d869c146-c82e-4435-92e4-da91542262fd" xmlns:ns4="d81c2681-db7b-4a56-9abd-a3238a78f6b2" xmlns:ns5="e8238601-ce47-4778-85d0-8b1d6564965a" targetNamespace="http://schemas.microsoft.com/office/2006/metadata/properties" ma:root="true" ma:fieldsID="d39509e3b119c2b79f2b69b0a7e46e81" ns1:_="" ns2:_="" ns3:_="" ns4:_="" ns5:_="">
    <xsd:import namespace="http://schemas.microsoft.com/sharepoint/v3"/>
    <xsd:import namespace="b98728ac-f998-415c-abee-6b046fb1441e"/>
    <xsd:import namespace="d869c146-c82e-4435-92e4-da91542262fd"/>
    <xsd:import namespace="d81c2681-db7b-4a56-9abd-a3238a78f6b2"/>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ff4dd4-e1ac-40df-be8e-b1e036f80c8e}"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04AF69-142E-479B-87B8-9F2CE56EC3C9}">
  <ds:schemaRefs>
    <ds:schemaRef ds:uri="http://schemas.openxmlformats.org/officeDocument/2006/bibliography"/>
  </ds:schemaRefs>
</ds:datastoreItem>
</file>

<file path=customXml/itemProps2.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36d99d7c-2e02-45ba-8353-3471677f0d2c"/>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8ABE9FD1-FA7F-4F03-9FDF-C5ED6084AA03}"/>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3248</Words>
  <Characters>18872</Characters>
  <DocSecurity>0</DocSecurity>
  <Lines>343</Lines>
  <Paragraphs>190</Paragraphs>
  <ScaleCrop>false</ScaleCrop>
  <Company/>
  <LinksUpToDate>false</LinksUpToDate>
  <CharactersWithSpaces>21930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Efficiency Labelling and Standards scheme Compliance Policy</dc:title>
  <dc:subject/>
  <dc:creator>Water Efficiency Labelling and Standards Regulator</dc:creator>
  <cp:keywords/>
  <cp:lastPrinted>2025-11-11T06:04:00Z</cp:lastPrinted>
  <dcterms:created xsi:type="dcterms:W3CDTF">2025-11-11T06:02:00Z</dcterms:created>
  <dcterms:modified xsi:type="dcterms:W3CDTF">2025-11-11T06:04:00Z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701033041</vt:i4>
  </property>
  <property fmtid="{D5CDD505-2E9C-101B-9397-08002B2CF9AE}" pid="3" name="ContentTypeId">
    <vt:lpwstr>0x010100D001B2BE74D025469E1D0E28F10DD2C8</vt:lpwstr>
  </property>
  <property fmtid="{D5CDD505-2E9C-101B-9397-08002B2CF9AE}" pid="4" name="Record_x0020_Classification">
    <vt:lpwstr/>
  </property>
  <property fmtid="{D5CDD505-2E9C-101B-9397-08002B2CF9AE}" pid="5" name="MediaServiceImageTags">
    <vt:lpwstr/>
  </property>
  <property fmtid="{D5CDD505-2E9C-101B-9397-08002B2CF9AE}" pid="6" name="h64465b6520a47a58f1168c7a3f04764">
    <vt:lpwstr/>
  </property>
  <property fmtid="{D5CDD505-2E9C-101B-9397-08002B2CF9AE}" pid="7" name="TaxCatchAll">
    <vt:lpwstr/>
  </property>
  <property fmtid="{D5CDD505-2E9C-101B-9397-08002B2CF9AE}" pid="8" name="Record Classification">
    <vt:lpwstr/>
  </property>
</Properties>
</file>