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9175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4E510E0B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60334E1F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286866FA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56CAC228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55BFA685" w14:textId="77777777" w:rsidR="008348D4" w:rsidRDefault="008348D4">
      <w:pPr>
        <w:spacing w:after="0" w:line="240" w:lineRule="auto"/>
        <w:rPr>
          <w:b/>
          <w:sz w:val="28"/>
          <w:szCs w:val="28"/>
          <w:lang w:val="es-ES"/>
        </w:rPr>
      </w:pPr>
    </w:p>
    <w:p w14:paraId="737ACC62" w14:textId="58A66703" w:rsidR="00ED3969" w:rsidRDefault="00ED3969" w:rsidP="00673908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</w:pPr>
      <w:bookmarkStart w:id="0" w:name="_Toc430782150"/>
      <w:r w:rsidRPr="00526324"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>WELS Regulator Advice</w:t>
      </w:r>
      <w:r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>:</w:t>
      </w:r>
    </w:p>
    <w:p w14:paraId="48FFB553" w14:textId="44A35F03" w:rsidR="00ED3969" w:rsidRPr="00526324" w:rsidRDefault="00A36B76" w:rsidP="00ED3969">
      <w:pPr>
        <w:spacing w:before="120" w:after="0" w:line="240" w:lineRule="auto"/>
        <w:jc w:val="center"/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</w:pPr>
      <w:r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>Requirements</w:t>
      </w:r>
      <w:r w:rsidR="00ED3969"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 xml:space="preserve"> for d</w:t>
      </w:r>
      <w:r w:rsidR="00ED3969" w:rsidRPr="00526324"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>ual</w:t>
      </w:r>
      <w:r w:rsidR="00981B66"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>-</w:t>
      </w:r>
      <w:r w:rsidR="00ED3969" w:rsidRPr="00526324"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>purpose tapware products</w:t>
      </w:r>
    </w:p>
    <w:p w14:paraId="5A537049" w14:textId="47658F3B" w:rsidR="00ED3969" w:rsidRPr="00DC54E9" w:rsidRDefault="000D0CCE" w:rsidP="00673908">
      <w:pPr>
        <w:spacing w:before="120" w:after="0" w:line="240" w:lineRule="auto"/>
        <w:jc w:val="center"/>
        <w:rPr>
          <w:rFonts w:ascii="Cambria" w:eastAsia="Calibri" w:hAnsi="Cambria" w:cs="Times New Roman"/>
          <w:b/>
          <w:bCs/>
          <w:sz w:val="28"/>
          <w:szCs w:val="28"/>
          <w:lang w:eastAsia="ja-JP"/>
        </w:rPr>
      </w:pPr>
      <w:r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 xml:space="preserve">21 </w:t>
      </w:r>
      <w:r w:rsidR="00F63992"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>December</w:t>
      </w:r>
      <w:r w:rsidR="00673908" w:rsidRPr="00526324"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 xml:space="preserve"> </w:t>
      </w:r>
      <w:r w:rsidR="00ED3969" w:rsidRPr="00526324">
        <w:rPr>
          <w:rFonts w:ascii="Cambria" w:eastAsia="Calibri" w:hAnsi="Cambria" w:cs="Times New Roman"/>
          <w:b/>
          <w:bCs/>
          <w:color w:val="17365D" w:themeColor="text2" w:themeShade="BF"/>
          <w:sz w:val="28"/>
          <w:szCs w:val="28"/>
          <w:lang w:eastAsia="ja-JP"/>
        </w:rPr>
        <w:t>2022</w:t>
      </w:r>
    </w:p>
    <w:p w14:paraId="13B98162" w14:textId="3A887D1D" w:rsidR="00ED3969" w:rsidRDefault="00A36B76" w:rsidP="00BC6F10">
      <w:pPr>
        <w:spacing w:before="120" w:after="12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 xml:space="preserve">This notice clarifies the technical requirements </w:t>
      </w:r>
      <w:r w:rsidR="00ED3969">
        <w:rPr>
          <w:rFonts w:ascii="Cambria" w:eastAsia="Calibri" w:hAnsi="Cambria" w:cs="Times New Roman"/>
          <w:lang w:eastAsia="ja-JP"/>
        </w:rPr>
        <w:t xml:space="preserve">for </w:t>
      </w:r>
      <w:r w:rsidR="00BC6F10">
        <w:rPr>
          <w:rFonts w:ascii="Cambria" w:eastAsia="Calibri" w:hAnsi="Cambria" w:cs="Times New Roman"/>
          <w:lang w:eastAsia="ja-JP"/>
        </w:rPr>
        <w:t xml:space="preserve">suppliers of </w:t>
      </w:r>
      <w:r w:rsidR="00ED3969" w:rsidRPr="00324128">
        <w:rPr>
          <w:rFonts w:ascii="Cambria" w:eastAsia="Calibri" w:hAnsi="Cambria" w:cs="Times New Roman"/>
          <w:lang w:eastAsia="ja-JP"/>
        </w:rPr>
        <w:t>dual</w:t>
      </w:r>
      <w:r w:rsidR="00BC6F10">
        <w:rPr>
          <w:rFonts w:ascii="Cambria" w:eastAsia="Calibri" w:hAnsi="Cambria" w:cs="Times New Roman"/>
          <w:lang w:eastAsia="ja-JP"/>
        </w:rPr>
        <w:t>-</w:t>
      </w:r>
      <w:r w:rsidR="00ED3969" w:rsidRPr="00324128">
        <w:rPr>
          <w:rFonts w:ascii="Cambria" w:eastAsia="Calibri" w:hAnsi="Cambria" w:cs="Times New Roman"/>
          <w:lang w:eastAsia="ja-JP"/>
        </w:rPr>
        <w:t>purpose tapware products</w:t>
      </w:r>
      <w:r w:rsidR="00ED3969">
        <w:rPr>
          <w:rFonts w:ascii="Cambria" w:eastAsia="Calibri" w:hAnsi="Cambria" w:cs="Times New Roman"/>
          <w:lang w:eastAsia="ja-JP"/>
        </w:rPr>
        <w:t>, while also</w:t>
      </w:r>
      <w:r>
        <w:rPr>
          <w:rFonts w:ascii="Cambria" w:eastAsia="Calibri" w:hAnsi="Cambria" w:cs="Times New Roman"/>
          <w:lang w:eastAsia="ja-JP"/>
        </w:rPr>
        <w:t xml:space="preserve"> </w:t>
      </w:r>
      <w:r w:rsidR="00BC6F10">
        <w:rPr>
          <w:rFonts w:ascii="Cambria" w:eastAsia="Calibri" w:hAnsi="Cambria" w:cs="Times New Roman"/>
          <w:lang w:eastAsia="ja-JP"/>
        </w:rPr>
        <w:t>supporting industry efforts</w:t>
      </w:r>
      <w:r>
        <w:rPr>
          <w:rFonts w:ascii="Cambria" w:eastAsia="Calibri" w:hAnsi="Cambria" w:cs="Times New Roman"/>
          <w:lang w:eastAsia="ja-JP"/>
        </w:rPr>
        <w:t xml:space="preserve"> to</w:t>
      </w:r>
      <w:r w:rsidR="00ED3969">
        <w:rPr>
          <w:rFonts w:ascii="Cambria" w:eastAsia="Calibri" w:hAnsi="Cambria" w:cs="Times New Roman"/>
          <w:lang w:eastAsia="ja-JP"/>
        </w:rPr>
        <w:t xml:space="preserve"> reduc</w:t>
      </w:r>
      <w:r>
        <w:rPr>
          <w:rFonts w:ascii="Cambria" w:eastAsia="Calibri" w:hAnsi="Cambria" w:cs="Times New Roman"/>
          <w:lang w:eastAsia="ja-JP"/>
        </w:rPr>
        <w:t xml:space="preserve">e </w:t>
      </w:r>
      <w:r w:rsidR="00ED3969">
        <w:rPr>
          <w:rFonts w:ascii="Cambria" w:eastAsia="Calibri" w:hAnsi="Cambria" w:cs="Times New Roman"/>
          <w:lang w:eastAsia="ja-JP"/>
        </w:rPr>
        <w:t>the environmental impacts from packaging and maximising value for money for Water Efficiency Labelling and Standards (WELS) products.</w:t>
      </w:r>
    </w:p>
    <w:p w14:paraId="4EA55A27" w14:textId="1DDAC659" w:rsidR="00ED3969" w:rsidRDefault="00ED3969" w:rsidP="00ED3969">
      <w:pPr>
        <w:spacing w:before="120" w:after="12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Dual-purpose tapware products are WELS products that are marketed and supplied for optional installation over a basin or bath.  These products are supplied with both a flow controller for installing over a basin (WELS product) and an aerator for installing over a bath (non-WELS product).</w:t>
      </w:r>
    </w:p>
    <w:p w14:paraId="6CF810AE" w14:textId="5156C2BB" w:rsidR="00673908" w:rsidRDefault="00673908" w:rsidP="00ED3969">
      <w:pPr>
        <w:spacing w:before="120" w:after="120" w:line="240" w:lineRule="auto"/>
        <w:rPr>
          <w:rFonts w:ascii="Cambria" w:eastAsia="Calibri" w:hAnsi="Cambria" w:cs="Times New Roman"/>
          <w:lang w:eastAsia="ja-JP"/>
        </w:rPr>
      </w:pPr>
      <w:r w:rsidRPr="00673908">
        <w:rPr>
          <w:rFonts w:ascii="Cambria" w:eastAsia="Calibri" w:hAnsi="Cambria" w:cs="Times New Roman"/>
          <w:lang w:eastAsia="ja-JP"/>
        </w:rPr>
        <w:t xml:space="preserve">If </w:t>
      </w:r>
      <w:r>
        <w:rPr>
          <w:rFonts w:ascii="Cambria" w:eastAsia="Calibri" w:hAnsi="Cambria" w:cs="Times New Roman"/>
          <w:lang w:eastAsia="ja-JP"/>
        </w:rPr>
        <w:t xml:space="preserve">the </w:t>
      </w:r>
      <w:r w:rsidRPr="00673908">
        <w:rPr>
          <w:rFonts w:ascii="Cambria" w:eastAsia="Calibri" w:hAnsi="Cambria" w:cs="Times New Roman"/>
          <w:lang w:eastAsia="ja-JP"/>
        </w:rPr>
        <w:t>register</w:t>
      </w:r>
      <w:r>
        <w:rPr>
          <w:rFonts w:ascii="Cambria" w:eastAsia="Calibri" w:hAnsi="Cambria" w:cs="Times New Roman"/>
          <w:lang w:eastAsia="ja-JP"/>
        </w:rPr>
        <w:t>ed products are supplied</w:t>
      </w:r>
      <w:r w:rsidRPr="00673908">
        <w:rPr>
          <w:rFonts w:ascii="Cambria" w:eastAsia="Calibri" w:hAnsi="Cambria" w:cs="Times New Roman"/>
          <w:lang w:eastAsia="ja-JP"/>
        </w:rPr>
        <w:t xml:space="preserve"> to other retailers for on-sale, </w:t>
      </w:r>
      <w:r>
        <w:rPr>
          <w:rFonts w:ascii="Cambria" w:eastAsia="Calibri" w:hAnsi="Cambria" w:cs="Times New Roman"/>
          <w:lang w:eastAsia="ja-JP"/>
        </w:rPr>
        <w:t>the registrant</w:t>
      </w:r>
      <w:r w:rsidRPr="00673908">
        <w:rPr>
          <w:rFonts w:ascii="Cambria" w:eastAsia="Calibri" w:hAnsi="Cambria" w:cs="Times New Roman"/>
          <w:lang w:eastAsia="ja-JP"/>
        </w:rPr>
        <w:t xml:space="preserve"> must ensure that these requirements are communicated to </w:t>
      </w:r>
      <w:r>
        <w:rPr>
          <w:rFonts w:ascii="Cambria" w:eastAsia="Calibri" w:hAnsi="Cambria" w:cs="Times New Roman"/>
          <w:lang w:eastAsia="ja-JP"/>
        </w:rPr>
        <w:t>on-sellers</w:t>
      </w:r>
      <w:r w:rsidRPr="00673908">
        <w:rPr>
          <w:rFonts w:ascii="Cambria" w:eastAsia="Calibri" w:hAnsi="Cambria" w:cs="Times New Roman"/>
          <w:lang w:eastAsia="ja-JP"/>
        </w:rPr>
        <w:t xml:space="preserve"> as well.</w:t>
      </w:r>
    </w:p>
    <w:p w14:paraId="367E35AF" w14:textId="23BCBE50" w:rsidR="00740B9A" w:rsidRPr="00885B0C" w:rsidRDefault="00740B9A" w:rsidP="00ED3969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>
        <w:rPr>
          <w:rFonts w:ascii="Cambria" w:eastAsia="Calibri" w:hAnsi="Cambria" w:cs="Times New Roman"/>
          <w:b/>
          <w:bCs/>
          <w:lang w:eastAsia="ja-JP"/>
        </w:rPr>
        <w:t>Registration and supply requirements</w:t>
      </w:r>
    </w:p>
    <w:p w14:paraId="785F1288" w14:textId="67775CD6" w:rsidR="002D260E" w:rsidRDefault="00ED3969" w:rsidP="00970EA0">
      <w:pPr>
        <w:spacing w:before="120" w:after="120" w:line="240" w:lineRule="auto"/>
        <w:rPr>
          <w:rFonts w:ascii="Cambria" w:eastAsia="Calibri" w:hAnsi="Cambria" w:cs="Times New Roman"/>
          <w:b/>
          <w:bCs/>
          <w:lang w:eastAsia="ja-JP"/>
        </w:rPr>
      </w:pPr>
      <w:r w:rsidRPr="0095760A">
        <w:rPr>
          <w:rFonts w:ascii="Cambria" w:eastAsia="Calibri" w:hAnsi="Cambria" w:cs="Times New Roman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0BD71" wp14:editId="3DC046CE">
                <wp:simplePos x="0" y="0"/>
                <wp:positionH relativeFrom="margin">
                  <wp:align>left</wp:align>
                </wp:positionH>
                <wp:positionV relativeFrom="paragraph">
                  <wp:posOffset>664210</wp:posOffset>
                </wp:positionV>
                <wp:extent cx="5819775" cy="1404620"/>
                <wp:effectExtent l="0" t="0" r="9525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40FA" w14:textId="77777777" w:rsidR="00ED3969" w:rsidRPr="0072791B" w:rsidRDefault="00ED3969" w:rsidP="00ED3969">
                            <w:pPr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ind w:left="426" w:right="203" w:hanging="357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</w:pPr>
                            <w:r w:rsidRPr="0072791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  <w:t xml:space="preserve">The model name registered with WELS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  <w:t xml:space="preserve">and on the product packaging </w:t>
                            </w:r>
                            <w:r w:rsidRPr="0072791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  <w:t>must have the WELS purpose of the product referenced first - for example: ‘ABC basin mixer/bath mixer’ not ‘ABC bath mixer/basin mixer’.</w:t>
                            </w:r>
                          </w:p>
                          <w:p w14:paraId="03787FF4" w14:textId="77777777" w:rsidR="00ED3969" w:rsidRPr="00885B0C" w:rsidRDefault="00ED3969" w:rsidP="00ED3969">
                            <w:pPr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ind w:left="426" w:right="203" w:hanging="357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</w:pPr>
                            <w:r w:rsidRPr="0072791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  <w:t xml:space="preserve">The product in the packaging must be in the form for installation over a basin -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  <w:t xml:space="preserve">    </w:t>
                            </w:r>
                            <w:r w:rsidRPr="0072791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  <w:t>it must contain the flow controller as the default form.</w:t>
                            </w:r>
                          </w:p>
                          <w:p w14:paraId="40D171E8" w14:textId="77777777" w:rsidR="00ED3969" w:rsidRPr="0072791B" w:rsidRDefault="00ED3969" w:rsidP="00ED3969">
                            <w:pPr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ind w:left="426" w:right="203" w:hanging="357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</w:pPr>
                            <w:r w:rsidRPr="0072791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  <w:t xml:space="preserve">The installation instructions must provide clear steps on how the basin product can be changed for use over a bath. </w:t>
                            </w:r>
                          </w:p>
                          <w:p w14:paraId="3E0BA8F3" w14:textId="77777777" w:rsidR="00ED3969" w:rsidRPr="0072791B" w:rsidRDefault="00ED3969" w:rsidP="00ED3969">
                            <w:pPr>
                              <w:numPr>
                                <w:ilvl w:val="0"/>
                                <w:numId w:val="28"/>
                              </w:numPr>
                              <w:spacing w:after="120" w:line="240" w:lineRule="auto"/>
                              <w:ind w:left="426" w:right="203" w:hanging="357"/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</w:pPr>
                            <w:r w:rsidRPr="0072791B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color w:val="404040" w:themeColor="text1" w:themeTint="BF"/>
                                <w:lang w:eastAsia="ja-JP"/>
                              </w:rPr>
                              <w:t>When offered for sale, suppliers must provide clear information to purchasers that the WELS star rating only applies to the product when installed over a basin.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90BD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.3pt;width:458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" fillcolor="#f2f2f2 [3052]" stroked="f">
                <v:textbox style="mso-fit-shape-to-text:t">
                  <w:txbxContent>
                    <w:p w14:paraId="307B40FA" w14:textId="77777777" w:rsidR="00ED3969" w:rsidRPr="0072791B" w:rsidRDefault="00ED3969" w:rsidP="00ED3969">
                      <w:pPr>
                        <w:numPr>
                          <w:ilvl w:val="0"/>
                          <w:numId w:val="28"/>
                        </w:numPr>
                        <w:spacing w:after="120" w:line="240" w:lineRule="auto"/>
                        <w:ind w:left="426" w:right="203" w:hanging="357"/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</w:pPr>
                      <w:r w:rsidRPr="0072791B"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  <w:t xml:space="preserve">The model name registered with WELS 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  <w:t xml:space="preserve">and on the product packaging </w:t>
                      </w:r>
                      <w:r w:rsidRPr="0072791B"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  <w:t>must have the WELS purpose of the product referenced first - for example: ‘ABC basin mixer/bath mixer’ not ‘ABC bath mixer/basin mixer’.</w:t>
                      </w:r>
                    </w:p>
                    <w:p w14:paraId="03787FF4" w14:textId="77777777" w:rsidR="00ED3969" w:rsidRPr="00885B0C" w:rsidRDefault="00ED3969" w:rsidP="00ED3969">
                      <w:pPr>
                        <w:numPr>
                          <w:ilvl w:val="0"/>
                          <w:numId w:val="28"/>
                        </w:numPr>
                        <w:spacing w:after="120" w:line="240" w:lineRule="auto"/>
                        <w:ind w:left="426" w:right="203" w:hanging="357"/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</w:pPr>
                      <w:r w:rsidRPr="0072791B"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  <w:t xml:space="preserve">The product in the packaging must be in the form for installation over a basin - </w:t>
                      </w:r>
                      <w:r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  <w:t xml:space="preserve">    </w:t>
                      </w:r>
                      <w:r w:rsidRPr="0072791B"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  <w:t>it must contain the flow controller as the default form.</w:t>
                      </w:r>
                    </w:p>
                    <w:p w14:paraId="40D171E8" w14:textId="77777777" w:rsidR="00ED3969" w:rsidRPr="0072791B" w:rsidRDefault="00ED3969" w:rsidP="00ED3969">
                      <w:pPr>
                        <w:numPr>
                          <w:ilvl w:val="0"/>
                          <w:numId w:val="28"/>
                        </w:numPr>
                        <w:spacing w:after="120" w:line="240" w:lineRule="auto"/>
                        <w:ind w:left="426" w:right="203" w:hanging="357"/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</w:pPr>
                      <w:r w:rsidRPr="0072791B"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  <w:t xml:space="preserve">The installation instructions must provide clear steps on how the basin product can be changed for use over a bath. </w:t>
                      </w:r>
                    </w:p>
                    <w:p w14:paraId="3E0BA8F3" w14:textId="77777777" w:rsidR="00ED3969" w:rsidRPr="0072791B" w:rsidRDefault="00ED3969" w:rsidP="00ED3969">
                      <w:pPr>
                        <w:numPr>
                          <w:ilvl w:val="0"/>
                          <w:numId w:val="28"/>
                        </w:numPr>
                        <w:spacing w:after="120" w:line="240" w:lineRule="auto"/>
                        <w:ind w:left="426" w:right="203" w:hanging="357"/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</w:pPr>
                      <w:r w:rsidRPr="0072791B">
                        <w:rPr>
                          <w:rFonts w:ascii="Cambria" w:eastAsia="Calibri" w:hAnsi="Cambria" w:cs="Times New Roman"/>
                          <w:b/>
                          <w:bCs/>
                          <w:color w:val="404040" w:themeColor="text1" w:themeTint="BF"/>
                          <w:lang w:eastAsia="ja-JP"/>
                        </w:rPr>
                        <w:t>When offered for sale, suppliers must provide clear information to purchasers that the WELS star rating only applies to the product when installed over a basin.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eastAsia="Calibri" w:hAnsi="Cambria" w:cs="Times New Roman"/>
          <w:noProof/>
          <w:lang w:eastAsia="ja-JP"/>
        </w:rPr>
        <w:t>Under the</w:t>
      </w:r>
      <w:r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i/>
          <w:iCs/>
          <w:lang w:eastAsia="ja-JP"/>
        </w:rPr>
        <w:t xml:space="preserve">Water Efficiency Labelling and Standards Act 2005 </w:t>
      </w:r>
      <w:r>
        <w:rPr>
          <w:rFonts w:ascii="Cambria" w:eastAsia="Calibri" w:hAnsi="Cambria" w:cs="Times New Roman"/>
          <w:lang w:eastAsia="ja-JP"/>
        </w:rPr>
        <w:t>(WELS Act), the following requirements apply to the registration and supply of WELS dual purpose products</w:t>
      </w:r>
      <w:r w:rsidRPr="00E548FF">
        <w:rPr>
          <w:rFonts w:ascii="Cambria" w:eastAsia="Calibri" w:hAnsi="Cambria" w:cs="Times New Roman"/>
          <w:lang w:eastAsia="ja-JP"/>
        </w:rPr>
        <w:t>:</w:t>
      </w:r>
    </w:p>
    <w:p w14:paraId="412A6F70" w14:textId="3ABF5431" w:rsidR="00ED3969" w:rsidRPr="005E17FC" w:rsidRDefault="00ED3969" w:rsidP="00ED3969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>
        <w:rPr>
          <w:rFonts w:ascii="Cambria" w:eastAsia="Calibri" w:hAnsi="Cambria" w:cs="Times New Roman"/>
          <w:b/>
          <w:bCs/>
          <w:lang w:eastAsia="ja-JP"/>
        </w:rPr>
        <w:t>Changing the registered name</w:t>
      </w:r>
    </w:p>
    <w:p w14:paraId="1401EAF7" w14:textId="751433B3" w:rsidR="00ED3969" w:rsidRDefault="00ED3969" w:rsidP="00ED3969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If your product is registered with a model name that doesn’t meet these requirements, please</w:t>
      </w:r>
      <w:r w:rsidRPr="00CE35D7">
        <w:rPr>
          <w:rFonts w:ascii="Cambria" w:eastAsia="Calibri" w:hAnsi="Cambria" w:cs="Times New Roman"/>
          <w:lang w:eastAsia="ja-JP"/>
        </w:rPr>
        <w:t xml:space="preserve"> submit </w:t>
      </w:r>
      <w:r>
        <w:rPr>
          <w:rFonts w:ascii="Cambria" w:eastAsia="Calibri" w:hAnsi="Cambria" w:cs="Times New Roman"/>
          <w:lang w:eastAsia="ja-JP"/>
        </w:rPr>
        <w:t>an</w:t>
      </w:r>
      <w:r w:rsidRPr="00CE35D7">
        <w:rPr>
          <w:rFonts w:ascii="Cambria" w:eastAsia="Calibri" w:hAnsi="Cambria" w:cs="Times New Roman"/>
          <w:lang w:eastAsia="ja-JP"/>
        </w:rPr>
        <w:t xml:space="preserve"> application</w:t>
      </w:r>
      <w:r>
        <w:rPr>
          <w:rFonts w:ascii="Cambria" w:eastAsia="Calibri" w:hAnsi="Cambria" w:cs="Times New Roman"/>
          <w:lang w:eastAsia="ja-JP"/>
        </w:rPr>
        <w:t xml:space="preserve"> in the WELS product registration database to have the model name </w:t>
      </w:r>
      <w:r w:rsidR="00BC6F10">
        <w:rPr>
          <w:rFonts w:ascii="Cambria" w:eastAsia="Calibri" w:hAnsi="Cambria" w:cs="Times New Roman"/>
          <w:lang w:eastAsia="ja-JP"/>
        </w:rPr>
        <w:t>amended</w:t>
      </w:r>
      <w:r>
        <w:rPr>
          <w:rFonts w:ascii="Cambria" w:eastAsia="Calibri" w:hAnsi="Cambria" w:cs="Times New Roman"/>
          <w:lang w:eastAsia="ja-JP"/>
        </w:rPr>
        <w:t xml:space="preserve"> as soon as possible after renewing existing product registrations. This must be done even if the product is not to be renewed. You will not be charged any additional fees.</w:t>
      </w:r>
    </w:p>
    <w:p w14:paraId="7F0A73CD" w14:textId="1F320F1E" w:rsidR="00740B9A" w:rsidRDefault="00ED3969" w:rsidP="00ED3969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 xml:space="preserve">Changes must be submitted </w:t>
      </w:r>
      <w:r w:rsidRPr="00E548FF">
        <w:rPr>
          <w:rFonts w:ascii="Cambria" w:eastAsia="Calibri" w:hAnsi="Cambria" w:cs="Times New Roman"/>
          <w:b/>
          <w:bCs/>
          <w:lang w:eastAsia="ja-JP"/>
        </w:rPr>
        <w:t>by 21 July 2023.</w:t>
      </w:r>
      <w:r>
        <w:rPr>
          <w:rFonts w:ascii="Cambria" w:eastAsia="Calibri" w:hAnsi="Cambria" w:cs="Times New Roman"/>
          <w:lang w:eastAsia="ja-JP"/>
        </w:rPr>
        <w:t xml:space="preserve"> </w:t>
      </w:r>
    </w:p>
    <w:p w14:paraId="03A04821" w14:textId="77777777" w:rsidR="00BC6F10" w:rsidRDefault="00BC6F10" w:rsidP="00A36B76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</w:p>
    <w:p w14:paraId="6D81FE5B" w14:textId="77777777" w:rsidR="00BC6F10" w:rsidRDefault="00BC6F10" w:rsidP="00A36B76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</w:p>
    <w:p w14:paraId="6FC88B5F" w14:textId="77777777" w:rsidR="00BC6F10" w:rsidRDefault="00BC6F10" w:rsidP="00A36B76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</w:p>
    <w:p w14:paraId="5E241094" w14:textId="77777777" w:rsidR="00BC6F10" w:rsidRDefault="00BC6F10" w:rsidP="00A36B76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</w:p>
    <w:p w14:paraId="1F29493D" w14:textId="6E0F5B07" w:rsidR="00A36B76" w:rsidRPr="00885B0C" w:rsidRDefault="00740B9A" w:rsidP="00A36B76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>
        <w:rPr>
          <w:rFonts w:ascii="Cambria" w:eastAsia="Calibri" w:hAnsi="Cambria" w:cs="Times New Roman"/>
          <w:b/>
          <w:bCs/>
          <w:lang w:eastAsia="ja-JP"/>
        </w:rPr>
        <w:lastRenderedPageBreak/>
        <w:t>P</w:t>
      </w:r>
      <w:r w:rsidR="00A36B76">
        <w:rPr>
          <w:rFonts w:ascii="Cambria" w:eastAsia="Calibri" w:hAnsi="Cambria" w:cs="Times New Roman"/>
          <w:b/>
          <w:bCs/>
          <w:lang w:eastAsia="ja-JP"/>
        </w:rPr>
        <w:t>roduct assembly and packaging labels</w:t>
      </w:r>
    </w:p>
    <w:p w14:paraId="089902AB" w14:textId="4C49FDF4" w:rsidR="00740B9A" w:rsidRDefault="00A36B76" w:rsidP="00ED3969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4B3BD6">
        <w:rPr>
          <w:rFonts w:ascii="Cambria" w:eastAsia="Calibri" w:hAnsi="Cambria" w:cs="Times New Roman"/>
          <w:lang w:eastAsia="ja-JP"/>
        </w:rPr>
        <w:t>Correct</w:t>
      </w:r>
      <w:r>
        <w:rPr>
          <w:rFonts w:ascii="Cambria" w:eastAsia="Calibri" w:hAnsi="Cambria" w:cs="Times New Roman"/>
          <w:lang w:eastAsia="ja-JP"/>
        </w:rPr>
        <w:t xml:space="preserve"> assembly of the product in the packaging and</w:t>
      </w:r>
      <w:r w:rsidRPr="004B3BD6">
        <w:rPr>
          <w:rFonts w:ascii="Cambria" w:eastAsia="Calibri" w:hAnsi="Cambria" w:cs="Times New Roman"/>
          <w:lang w:eastAsia="ja-JP"/>
        </w:rPr>
        <w:t xml:space="preserve"> </w:t>
      </w:r>
      <w:r w:rsidRPr="00885B0C">
        <w:rPr>
          <w:rFonts w:ascii="Cambria" w:eastAsia="Calibri" w:hAnsi="Cambria" w:cs="Times New Roman"/>
          <w:lang w:eastAsia="ja-JP"/>
        </w:rPr>
        <w:t>labelling on product packaging must</w:t>
      </w:r>
      <w:r>
        <w:rPr>
          <w:rFonts w:ascii="Cambria" w:eastAsia="Calibri" w:hAnsi="Cambria" w:cs="Times New Roman"/>
          <w:lang w:eastAsia="ja-JP"/>
        </w:rPr>
        <w:t xml:space="preserve"> be in place</w:t>
      </w:r>
      <w:r w:rsidRPr="004B3BD6">
        <w:rPr>
          <w:rFonts w:ascii="Cambria" w:eastAsia="Calibri" w:hAnsi="Cambria" w:cs="Times New Roman"/>
          <w:lang w:eastAsia="ja-JP"/>
        </w:rPr>
        <w:t xml:space="preserve"> </w:t>
      </w:r>
      <w:r w:rsidR="00BC6F10">
        <w:rPr>
          <w:rFonts w:ascii="Cambria" w:eastAsia="Calibri" w:hAnsi="Cambria" w:cs="Times New Roman"/>
          <w:b/>
          <w:bCs/>
          <w:lang w:eastAsia="ja-JP"/>
        </w:rPr>
        <w:t>before</w:t>
      </w:r>
      <w:r w:rsidR="00C031A4">
        <w:rPr>
          <w:rFonts w:ascii="Cambria" w:eastAsia="Calibri" w:hAnsi="Cambria" w:cs="Times New Roman"/>
          <w:b/>
          <w:bCs/>
          <w:lang w:eastAsia="ja-JP"/>
        </w:rPr>
        <w:t xml:space="preserve"> </w:t>
      </w:r>
      <w:r w:rsidRPr="00970EA0">
        <w:rPr>
          <w:rFonts w:ascii="Cambria" w:eastAsia="Calibri" w:hAnsi="Cambria" w:cs="Times New Roman"/>
          <w:b/>
          <w:bCs/>
          <w:lang w:eastAsia="ja-JP"/>
        </w:rPr>
        <w:t>1 January 2024.</w:t>
      </w:r>
    </w:p>
    <w:p w14:paraId="23BBBC53" w14:textId="77777777" w:rsidR="00ED3969" w:rsidRPr="005E17FC" w:rsidRDefault="00ED3969" w:rsidP="00ED3969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>
        <w:rPr>
          <w:rFonts w:ascii="Cambria" w:eastAsia="Calibri" w:hAnsi="Cambria" w:cs="Times New Roman"/>
          <w:b/>
          <w:bCs/>
          <w:lang w:eastAsia="ja-JP"/>
        </w:rPr>
        <w:t>Installation instructions</w:t>
      </w:r>
    </w:p>
    <w:p w14:paraId="743484D4" w14:textId="4B85552F" w:rsidR="00ED3969" w:rsidRDefault="00BC6F10" w:rsidP="00ED3969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 xml:space="preserve">Clear installation instructions must be made available to purchasers and they must outline the </w:t>
      </w:r>
      <w:r w:rsidR="00ED3969">
        <w:rPr>
          <w:rFonts w:ascii="Cambria" w:eastAsia="Calibri" w:hAnsi="Cambria" w:cs="Times New Roman"/>
          <w:lang w:eastAsia="ja-JP"/>
        </w:rPr>
        <w:t xml:space="preserve">various uses and installation requirements for dual-purpose tapware products. </w:t>
      </w:r>
      <w:r>
        <w:rPr>
          <w:rFonts w:ascii="Cambria" w:eastAsia="Calibri" w:hAnsi="Cambria" w:cs="Times New Roman"/>
          <w:lang w:eastAsia="ja-JP"/>
        </w:rPr>
        <w:t xml:space="preserve">This must be in place </w:t>
      </w:r>
      <w:r w:rsidRPr="00970EA0">
        <w:rPr>
          <w:rFonts w:ascii="Cambria" w:eastAsia="Calibri" w:hAnsi="Cambria" w:cs="Times New Roman"/>
          <w:b/>
          <w:bCs/>
          <w:lang w:eastAsia="ja-JP"/>
        </w:rPr>
        <w:t>before 1 January 2024</w:t>
      </w:r>
      <w:r>
        <w:rPr>
          <w:rFonts w:ascii="Cambria" w:eastAsia="Calibri" w:hAnsi="Cambria" w:cs="Times New Roman"/>
          <w:lang w:eastAsia="ja-JP"/>
        </w:rPr>
        <w:t>.</w:t>
      </w:r>
    </w:p>
    <w:p w14:paraId="1DD8C090" w14:textId="270C9C1D" w:rsidR="00ED3969" w:rsidRDefault="00740B9A" w:rsidP="00ED3969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>
        <w:rPr>
          <w:rFonts w:ascii="Cambria" w:eastAsia="Calibri" w:hAnsi="Cambria" w:cs="Times New Roman"/>
          <w:b/>
          <w:bCs/>
          <w:lang w:eastAsia="ja-JP"/>
        </w:rPr>
        <w:t xml:space="preserve">Promotion of </w:t>
      </w:r>
      <w:r w:rsidR="00ED3969" w:rsidRPr="00E548FF">
        <w:rPr>
          <w:rFonts w:ascii="Cambria" w:eastAsia="Calibri" w:hAnsi="Cambria" w:cs="Times New Roman"/>
          <w:b/>
          <w:bCs/>
          <w:lang w:eastAsia="ja-JP"/>
        </w:rPr>
        <w:t xml:space="preserve">existing products </w:t>
      </w:r>
    </w:p>
    <w:p w14:paraId="6714976D" w14:textId="10E88906" w:rsidR="00740B9A" w:rsidRPr="00526324" w:rsidRDefault="00BC6F10" w:rsidP="00740B9A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All</w:t>
      </w:r>
      <w:r w:rsidR="00740B9A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 xml:space="preserve">advertising, print media, electronic and physical display information and </w:t>
      </w:r>
      <w:r w:rsidR="00740B9A">
        <w:rPr>
          <w:rFonts w:ascii="Cambria" w:eastAsia="Calibri" w:hAnsi="Cambria" w:cs="Times New Roman"/>
          <w:lang w:eastAsia="ja-JP"/>
        </w:rPr>
        <w:t xml:space="preserve">other promotional activities for dual-purpose tapware products must present the correct information </w:t>
      </w:r>
      <w:r w:rsidR="00740B9A">
        <w:rPr>
          <w:rFonts w:ascii="Cambria" w:eastAsia="Calibri" w:hAnsi="Cambria" w:cs="Times New Roman"/>
          <w:lang w:eastAsia="ja-JP"/>
        </w:rPr>
        <w:br/>
      </w:r>
      <w:r w:rsidR="00740B9A" w:rsidRPr="00970EA0">
        <w:rPr>
          <w:rFonts w:ascii="Cambria" w:eastAsia="Calibri" w:hAnsi="Cambria" w:cs="Times New Roman"/>
          <w:b/>
          <w:bCs/>
          <w:lang w:eastAsia="ja-JP"/>
        </w:rPr>
        <w:t>b</w:t>
      </w:r>
      <w:r>
        <w:rPr>
          <w:rFonts w:ascii="Cambria" w:eastAsia="Calibri" w:hAnsi="Cambria" w:cs="Times New Roman"/>
          <w:b/>
          <w:bCs/>
          <w:lang w:eastAsia="ja-JP"/>
        </w:rPr>
        <w:t>efore</w:t>
      </w:r>
      <w:r w:rsidR="00740B9A" w:rsidRPr="00970EA0">
        <w:rPr>
          <w:rFonts w:ascii="Cambria" w:eastAsia="Calibri" w:hAnsi="Cambria" w:cs="Times New Roman"/>
          <w:b/>
          <w:bCs/>
          <w:lang w:eastAsia="ja-JP"/>
        </w:rPr>
        <w:t xml:space="preserve"> 22 July 2023.</w:t>
      </w:r>
    </w:p>
    <w:p w14:paraId="457BBB00" w14:textId="77777777" w:rsidR="00ED3969" w:rsidRPr="00E548FF" w:rsidRDefault="00ED3969" w:rsidP="00ED3969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>
        <w:rPr>
          <w:rFonts w:ascii="Cambria" w:eastAsia="Calibri" w:hAnsi="Cambria" w:cs="Times New Roman"/>
          <w:b/>
          <w:bCs/>
          <w:lang w:eastAsia="ja-JP"/>
        </w:rPr>
        <w:t>Monitoring and compliance</w:t>
      </w:r>
    </w:p>
    <w:p w14:paraId="36C1B775" w14:textId="5E3AD293" w:rsidR="00ED3969" w:rsidRPr="00B6356F" w:rsidRDefault="00ED3969" w:rsidP="00ED3969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 xml:space="preserve">WELS is providing information and guidance to assist </w:t>
      </w:r>
      <w:r w:rsidR="00A36B76">
        <w:rPr>
          <w:rFonts w:ascii="Cambria" w:eastAsia="Calibri" w:hAnsi="Cambria" w:cs="Times New Roman"/>
          <w:lang w:eastAsia="ja-JP"/>
        </w:rPr>
        <w:t>the small number of suppliers affected to transition to</w:t>
      </w:r>
      <w:r w:rsidRPr="00B6356F">
        <w:rPr>
          <w:rFonts w:ascii="Cambria" w:eastAsia="Calibri" w:hAnsi="Cambria" w:cs="Times New Roman"/>
          <w:lang w:eastAsia="ja-JP"/>
        </w:rPr>
        <w:t xml:space="preserve"> the </w:t>
      </w:r>
      <w:r w:rsidR="00A36B76">
        <w:rPr>
          <w:rFonts w:ascii="Cambria" w:eastAsia="Calibri" w:hAnsi="Cambria" w:cs="Times New Roman"/>
          <w:lang w:eastAsia="ja-JP"/>
        </w:rPr>
        <w:t>new requirements</w:t>
      </w:r>
      <w:r w:rsidR="00740B9A">
        <w:rPr>
          <w:rFonts w:ascii="Cambria" w:eastAsia="Calibri" w:hAnsi="Cambria" w:cs="Times New Roman"/>
          <w:lang w:eastAsia="ja-JP"/>
        </w:rPr>
        <w:t xml:space="preserve"> by the timeframes set out in this notice</w:t>
      </w:r>
      <w:r>
        <w:rPr>
          <w:rFonts w:ascii="Cambria" w:eastAsia="Calibri" w:hAnsi="Cambria" w:cs="Times New Roman"/>
          <w:lang w:eastAsia="ja-JP"/>
        </w:rPr>
        <w:t>.</w:t>
      </w:r>
      <w:r w:rsidRPr="00B6356F">
        <w:rPr>
          <w:rFonts w:ascii="Cambria" w:eastAsia="Calibri" w:hAnsi="Cambria" w:cs="Times New Roman"/>
          <w:lang w:eastAsia="ja-JP"/>
        </w:rPr>
        <w:t xml:space="preserve"> </w:t>
      </w:r>
    </w:p>
    <w:p w14:paraId="40A7CFC8" w14:textId="0DFD5370" w:rsidR="00ED3969" w:rsidRDefault="00740B9A" w:rsidP="00ED3969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>
        <w:rPr>
          <w:rFonts w:ascii="Cambria" w:eastAsia="Calibri" w:hAnsi="Cambria" w:cs="Times New Roman"/>
          <w:lang w:eastAsia="ja-JP"/>
        </w:rPr>
        <w:t>Over the longer term</w:t>
      </w:r>
      <w:r w:rsidR="00ED3969">
        <w:rPr>
          <w:rFonts w:ascii="Cambria" w:eastAsia="Calibri" w:hAnsi="Cambria" w:cs="Times New Roman"/>
          <w:lang w:eastAsia="ja-JP"/>
        </w:rPr>
        <w:t xml:space="preserve">, we will use a risk-based approach to </w:t>
      </w:r>
      <w:r w:rsidR="00BC6F10">
        <w:rPr>
          <w:rFonts w:ascii="Cambria" w:eastAsia="Calibri" w:hAnsi="Cambria" w:cs="Times New Roman"/>
          <w:lang w:eastAsia="ja-JP"/>
        </w:rPr>
        <w:t xml:space="preserve">monitoring and assuring </w:t>
      </w:r>
      <w:r w:rsidR="00ED3969">
        <w:rPr>
          <w:rFonts w:ascii="Cambria" w:eastAsia="Calibri" w:hAnsi="Cambria" w:cs="Times New Roman"/>
          <w:lang w:eastAsia="ja-JP"/>
        </w:rPr>
        <w:t>compliance with the requirements.</w:t>
      </w:r>
    </w:p>
    <w:p w14:paraId="00DB020E" w14:textId="77777777" w:rsidR="00ED3969" w:rsidRPr="00E548FF" w:rsidRDefault="00ED3969" w:rsidP="00ED3969">
      <w:pPr>
        <w:spacing w:before="120" w:after="0" w:line="240" w:lineRule="auto"/>
        <w:rPr>
          <w:rFonts w:ascii="Cambria" w:eastAsia="Calibri" w:hAnsi="Cambria" w:cs="Times New Roman"/>
          <w:b/>
          <w:bCs/>
          <w:lang w:eastAsia="ja-JP"/>
        </w:rPr>
      </w:pPr>
      <w:r>
        <w:rPr>
          <w:rFonts w:ascii="Cambria" w:eastAsia="Calibri" w:hAnsi="Cambria" w:cs="Times New Roman"/>
          <w:b/>
          <w:bCs/>
          <w:lang w:eastAsia="ja-JP"/>
        </w:rPr>
        <w:t>Mo</w:t>
      </w:r>
      <w:r w:rsidRPr="00E548FF">
        <w:rPr>
          <w:rFonts w:ascii="Cambria" w:eastAsia="Calibri" w:hAnsi="Cambria" w:cs="Times New Roman"/>
          <w:b/>
          <w:bCs/>
          <w:lang w:eastAsia="ja-JP"/>
        </w:rPr>
        <w:t>r</w:t>
      </w:r>
      <w:r>
        <w:rPr>
          <w:rFonts w:ascii="Cambria" w:eastAsia="Calibri" w:hAnsi="Cambria" w:cs="Times New Roman"/>
          <w:b/>
          <w:bCs/>
          <w:lang w:eastAsia="ja-JP"/>
        </w:rPr>
        <w:t>e</w:t>
      </w:r>
      <w:r w:rsidRPr="00E548FF">
        <w:rPr>
          <w:rFonts w:ascii="Cambria" w:eastAsia="Calibri" w:hAnsi="Cambria" w:cs="Times New Roman"/>
          <w:b/>
          <w:bCs/>
          <w:lang w:eastAsia="ja-JP"/>
        </w:rPr>
        <w:t xml:space="preserve"> information</w:t>
      </w:r>
    </w:p>
    <w:p w14:paraId="6CEA70C1" w14:textId="4954B355" w:rsidR="00ED3969" w:rsidRPr="00DC54E9" w:rsidRDefault="00ED3969" w:rsidP="00ED3969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DC54E9">
        <w:rPr>
          <w:rFonts w:ascii="Cambria" w:eastAsia="Calibri" w:hAnsi="Cambria" w:cs="Times New Roman"/>
          <w:lang w:eastAsia="ja-JP"/>
        </w:rPr>
        <w:t xml:space="preserve">If you have </w:t>
      </w:r>
      <w:r>
        <w:rPr>
          <w:rFonts w:ascii="Cambria" w:eastAsia="Calibri" w:hAnsi="Cambria" w:cs="Times New Roman"/>
          <w:lang w:eastAsia="ja-JP"/>
        </w:rPr>
        <w:t xml:space="preserve">any </w:t>
      </w:r>
      <w:r w:rsidRPr="00DC54E9">
        <w:rPr>
          <w:rFonts w:ascii="Cambria" w:eastAsia="Calibri" w:hAnsi="Cambria" w:cs="Times New Roman"/>
          <w:lang w:eastAsia="ja-JP"/>
        </w:rPr>
        <w:t>questions</w:t>
      </w:r>
      <w:r>
        <w:rPr>
          <w:rFonts w:ascii="Cambria" w:eastAsia="Calibri" w:hAnsi="Cambria" w:cs="Times New Roman"/>
          <w:lang w:eastAsia="ja-JP"/>
        </w:rPr>
        <w:t xml:space="preserve"> about the changes</w:t>
      </w:r>
      <w:r w:rsidRPr="00DC54E9">
        <w:rPr>
          <w:rFonts w:ascii="Cambria" w:eastAsia="Calibri" w:hAnsi="Cambria" w:cs="Times New Roman"/>
          <w:lang w:eastAsia="ja-JP"/>
        </w:rPr>
        <w:t xml:space="preserve">, please contact </w:t>
      </w:r>
      <w:r>
        <w:rPr>
          <w:rFonts w:ascii="Cambria" w:eastAsia="Calibri" w:hAnsi="Cambria" w:cs="Times New Roman"/>
          <w:lang w:eastAsia="ja-JP"/>
        </w:rPr>
        <w:t xml:space="preserve">the WELS team </w:t>
      </w:r>
      <w:r w:rsidR="00BC6F10">
        <w:rPr>
          <w:rFonts w:ascii="Cambria" w:eastAsia="Calibri" w:hAnsi="Cambria" w:cs="Times New Roman"/>
          <w:lang w:eastAsia="ja-JP"/>
        </w:rPr>
        <w:t>via:</w:t>
      </w:r>
    </w:p>
    <w:p w14:paraId="78F4999E" w14:textId="77777777" w:rsidR="00ED3969" w:rsidRDefault="00ED3969" w:rsidP="00ED3969">
      <w:pPr>
        <w:spacing w:before="120" w:after="0" w:line="240" w:lineRule="auto"/>
        <w:rPr>
          <w:rFonts w:ascii="Cambria" w:eastAsia="Calibri" w:hAnsi="Cambria" w:cs="Times New Roman"/>
          <w:lang w:eastAsia="ja-JP"/>
        </w:rPr>
      </w:pPr>
      <w:r w:rsidRPr="00E548FF">
        <w:rPr>
          <w:rFonts w:ascii="Cambria" w:eastAsia="Calibri" w:hAnsi="Cambria" w:cs="Times New Roman"/>
          <w:b/>
          <w:bCs/>
          <w:lang w:eastAsia="ja-JP"/>
        </w:rPr>
        <w:t>Email:</w:t>
      </w:r>
      <w:r>
        <w:rPr>
          <w:rFonts w:ascii="Cambria" w:eastAsia="Calibri" w:hAnsi="Cambria" w:cs="Times New Roman"/>
          <w:lang w:eastAsia="ja-JP"/>
        </w:rPr>
        <w:t xml:space="preserve"> </w:t>
      </w:r>
      <w:hyperlink r:id="rId11" w:history="1">
        <w:r w:rsidRPr="00C54233">
          <w:rPr>
            <w:rStyle w:val="Hyperlink"/>
            <w:rFonts w:ascii="Cambria" w:eastAsia="Calibri" w:hAnsi="Cambria" w:cs="Times New Roman"/>
            <w:lang w:eastAsia="ja-JP"/>
          </w:rPr>
          <w:t>wels@dcceew.gov.au</w:t>
        </w:r>
      </w:hyperlink>
    </w:p>
    <w:p w14:paraId="2EE683D3" w14:textId="619FB6FD" w:rsidR="004D74EE" w:rsidRPr="004D74EE" w:rsidRDefault="00ED3969" w:rsidP="00970EA0">
      <w:pPr>
        <w:spacing w:before="120" w:after="0" w:line="240" w:lineRule="auto"/>
        <w:rPr>
          <w:lang w:eastAsia="ja-JP"/>
        </w:rPr>
      </w:pPr>
      <w:r w:rsidRPr="00E548FF">
        <w:rPr>
          <w:rFonts w:ascii="Cambria" w:eastAsia="Calibri" w:hAnsi="Cambria" w:cs="Times New Roman"/>
          <w:b/>
          <w:bCs/>
          <w:lang w:eastAsia="ja-JP"/>
        </w:rPr>
        <w:t>Phone:</w:t>
      </w:r>
      <w:r w:rsidRPr="00DC54E9">
        <w:rPr>
          <w:rFonts w:ascii="Cambria" w:eastAsia="Calibri" w:hAnsi="Cambria" w:cs="Times New Roman"/>
          <w:lang w:eastAsia="ja-JP"/>
        </w:rPr>
        <w:t xml:space="preserve"> </w:t>
      </w:r>
      <w:r w:rsidRPr="00112399">
        <w:rPr>
          <w:rFonts w:ascii="Cambria" w:eastAsia="Calibri" w:hAnsi="Cambria" w:cs="Times New Roman"/>
          <w:lang w:eastAsia="ja-JP"/>
        </w:rPr>
        <w:t>1800 218 478 (toll-free within Australia)</w:t>
      </w:r>
      <w:r w:rsidRPr="00DC54E9">
        <w:rPr>
          <w:rFonts w:ascii="Cambria" w:eastAsia="Calibri" w:hAnsi="Cambria" w:cs="Times New Roman"/>
          <w:lang w:eastAsia="ja-JP"/>
        </w:rPr>
        <w:t xml:space="preserve"> or +61 2 6272 5232 (international)</w:t>
      </w:r>
      <w:bookmarkEnd w:id="0"/>
    </w:p>
    <w:sectPr w:rsidR="004D74EE" w:rsidRPr="004D74EE" w:rsidSect="00076A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AA13" w14:textId="77777777" w:rsidR="00965E2E" w:rsidRDefault="001D0F8A">
      <w:r>
        <w:separator/>
      </w:r>
    </w:p>
    <w:p w14:paraId="4E836D2C" w14:textId="77777777" w:rsidR="00965E2E" w:rsidRDefault="00965E2E"/>
    <w:p w14:paraId="23001BC2" w14:textId="77777777" w:rsidR="00965E2E" w:rsidRDefault="00965E2E"/>
  </w:endnote>
  <w:endnote w:type="continuationSeparator" w:id="0">
    <w:p w14:paraId="65714ED4" w14:textId="77777777" w:rsidR="00965E2E" w:rsidRDefault="001D0F8A">
      <w:r>
        <w:continuationSeparator/>
      </w:r>
    </w:p>
    <w:p w14:paraId="46EA178C" w14:textId="77777777" w:rsidR="00965E2E" w:rsidRDefault="00965E2E"/>
    <w:p w14:paraId="1D962B5B" w14:textId="77777777" w:rsidR="00965E2E" w:rsidRDefault="00965E2E"/>
  </w:endnote>
  <w:endnote w:type="continuationNotice" w:id="1">
    <w:p w14:paraId="0B9029C3" w14:textId="77777777" w:rsidR="00965E2E" w:rsidRDefault="00965E2E">
      <w:pPr>
        <w:pStyle w:val="Footer"/>
      </w:pPr>
    </w:p>
    <w:p w14:paraId="349ED656" w14:textId="77777777" w:rsidR="00965E2E" w:rsidRDefault="00965E2E"/>
    <w:p w14:paraId="4C91796F" w14:textId="77777777" w:rsidR="00965E2E" w:rsidRDefault="00965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EB3D" w14:textId="77777777" w:rsidR="00076A42" w:rsidRDefault="00076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EBD4" w14:textId="77777777" w:rsidR="00D65D16" w:rsidRDefault="00D65D16" w:rsidP="00D65D16">
    <w:pPr>
      <w:pStyle w:val="Footer"/>
    </w:pPr>
    <w:r>
      <w:t>Department of Climate Change, Energy, the Environment and Water</w:t>
    </w:r>
  </w:p>
  <w:p w14:paraId="5AEA9381" w14:textId="1708AB8E" w:rsidR="00965E2E" w:rsidRDefault="00965E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48D3" w14:textId="77777777" w:rsidR="00076A42" w:rsidRDefault="00076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C856" w14:textId="77777777" w:rsidR="00965E2E" w:rsidRDefault="001D0F8A">
      <w:r>
        <w:separator/>
      </w:r>
    </w:p>
    <w:p w14:paraId="39BF9290" w14:textId="77777777" w:rsidR="00965E2E" w:rsidRDefault="00965E2E"/>
    <w:p w14:paraId="056679F4" w14:textId="77777777" w:rsidR="00965E2E" w:rsidRDefault="00965E2E"/>
  </w:footnote>
  <w:footnote w:type="continuationSeparator" w:id="0">
    <w:p w14:paraId="78B09BDE" w14:textId="77777777" w:rsidR="00965E2E" w:rsidRDefault="001D0F8A">
      <w:r>
        <w:continuationSeparator/>
      </w:r>
    </w:p>
    <w:p w14:paraId="2A58913B" w14:textId="77777777" w:rsidR="00965E2E" w:rsidRDefault="00965E2E"/>
    <w:p w14:paraId="22C84865" w14:textId="77777777" w:rsidR="00965E2E" w:rsidRDefault="00965E2E"/>
  </w:footnote>
  <w:footnote w:type="continuationNotice" w:id="1">
    <w:p w14:paraId="7EA977C2" w14:textId="77777777" w:rsidR="00965E2E" w:rsidRDefault="00965E2E">
      <w:pPr>
        <w:pStyle w:val="Footer"/>
      </w:pPr>
    </w:p>
    <w:p w14:paraId="466447D6" w14:textId="77777777" w:rsidR="00965E2E" w:rsidRDefault="00965E2E"/>
    <w:p w14:paraId="1024A80C" w14:textId="77777777" w:rsidR="00965E2E" w:rsidRDefault="00965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3823" w14:textId="77777777" w:rsidR="00076A42" w:rsidRDefault="00076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3E48" w14:textId="77777777" w:rsidR="00076A42" w:rsidRDefault="00076A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E4D1" w14:textId="77777777" w:rsidR="00965E2E" w:rsidRDefault="001D0F8A">
    <w:pPr>
      <w:pStyle w:val="Header"/>
      <w:jc w:val="left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1C1C2F7" wp14:editId="7B83EA52">
          <wp:simplePos x="0" y="0"/>
          <wp:positionH relativeFrom="page">
            <wp:align>right</wp:align>
          </wp:positionH>
          <wp:positionV relativeFrom="paragraph">
            <wp:posOffset>-381991</wp:posOffset>
          </wp:positionV>
          <wp:extent cx="7581841" cy="10724084"/>
          <wp:effectExtent l="0" t="0" r="635" b="1270"/>
          <wp:wrapNone/>
          <wp:docPr id="12" name="Picture 12" descr="Australian  Government Water Rating website publication. The Water Efficiency Labelling and Standards (WELS) scheme is an Australian Government initiative in partnership with state and territory government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s cover f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841" cy="10724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028946"/>
    <w:lvl w:ilvl="0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B9B87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E29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DB8BB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05ED8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4FEE3AE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A380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27748EE"/>
    <w:multiLevelType w:val="hybridMultilevel"/>
    <w:tmpl w:val="12BC2012"/>
    <w:lvl w:ilvl="0" w:tplc="CD20C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E2F35"/>
    <w:multiLevelType w:val="multilevel"/>
    <w:tmpl w:val="4182A4F0"/>
    <w:numStyleLink w:val="Numberlist"/>
  </w:abstractNum>
  <w:abstractNum w:abstractNumId="9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0078"/>
    <w:multiLevelType w:val="multilevel"/>
    <w:tmpl w:val="CD9EAA80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94A15FE"/>
    <w:multiLevelType w:val="multilevel"/>
    <w:tmpl w:val="CD9EAA80"/>
    <w:numStyleLink w:val="Headinglist"/>
  </w:abstractNum>
  <w:abstractNum w:abstractNumId="12" w15:restartNumberingAfterBreak="0">
    <w:nsid w:val="45F508D8"/>
    <w:multiLevelType w:val="hybridMultilevel"/>
    <w:tmpl w:val="96E8D3BA"/>
    <w:lvl w:ilvl="0" w:tplc="36F4A39E">
      <w:start w:val="1"/>
      <w:numFmt w:val="decimal"/>
      <w:lvlText w:val="%1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82242"/>
    <w:multiLevelType w:val="hybridMultilevel"/>
    <w:tmpl w:val="D52213BE"/>
    <w:lvl w:ilvl="0" w:tplc="A9104822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12966"/>
    <w:multiLevelType w:val="multilevel"/>
    <w:tmpl w:val="86DAE6FE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8F3B04"/>
    <w:multiLevelType w:val="multilevel"/>
    <w:tmpl w:val="4182A4F0"/>
    <w:styleLink w:val="Numberlist"/>
    <w:lvl w:ilvl="0">
      <w:start w:val="1"/>
      <w:numFmt w:val="decimal"/>
      <w:pStyle w:val="ListNumber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1426001656">
    <w:abstractNumId w:val="6"/>
  </w:num>
  <w:num w:numId="2" w16cid:durableId="25063035">
    <w:abstractNumId w:val="5"/>
    <w:lvlOverride w:ilvl="0">
      <w:startOverride w:val="1"/>
    </w:lvlOverride>
  </w:num>
  <w:num w:numId="3" w16cid:durableId="1710832646">
    <w:abstractNumId w:val="13"/>
  </w:num>
  <w:num w:numId="4" w16cid:durableId="694498486">
    <w:abstractNumId w:val="9"/>
  </w:num>
  <w:num w:numId="5" w16cid:durableId="27145772">
    <w:abstractNumId w:val="15"/>
  </w:num>
  <w:num w:numId="6" w16cid:durableId="1390107345">
    <w:abstractNumId w:val="16"/>
  </w:num>
  <w:num w:numId="7" w16cid:durableId="1075588881">
    <w:abstractNumId w:val="8"/>
  </w:num>
  <w:num w:numId="8" w16cid:durableId="1856767761">
    <w:abstractNumId w:val="10"/>
  </w:num>
  <w:num w:numId="9" w16cid:durableId="947198100">
    <w:abstractNumId w:val="11"/>
  </w:num>
  <w:num w:numId="10" w16cid:durableId="1336570495">
    <w:abstractNumId w:val="11"/>
  </w:num>
  <w:num w:numId="11" w16cid:durableId="1908569288">
    <w:abstractNumId w:val="11"/>
  </w:num>
  <w:num w:numId="12" w16cid:durableId="960383164">
    <w:abstractNumId w:val="4"/>
  </w:num>
  <w:num w:numId="13" w16cid:durableId="600799487">
    <w:abstractNumId w:val="15"/>
  </w:num>
  <w:num w:numId="14" w16cid:durableId="781069563">
    <w:abstractNumId w:val="12"/>
  </w:num>
  <w:num w:numId="15" w16cid:durableId="1323195041">
    <w:abstractNumId w:val="3"/>
  </w:num>
  <w:num w:numId="16" w16cid:durableId="1371145647">
    <w:abstractNumId w:val="2"/>
  </w:num>
  <w:num w:numId="17" w16cid:durableId="256981410">
    <w:abstractNumId w:val="1"/>
  </w:num>
  <w:num w:numId="18" w16cid:durableId="1369185737">
    <w:abstractNumId w:val="0"/>
  </w:num>
  <w:num w:numId="19" w16cid:durableId="164980847">
    <w:abstractNumId w:val="14"/>
  </w:num>
  <w:num w:numId="20" w16cid:durableId="1543596616">
    <w:abstractNumId w:val="14"/>
  </w:num>
  <w:num w:numId="21" w16cid:durableId="141117100">
    <w:abstractNumId w:val="14"/>
  </w:num>
  <w:num w:numId="22" w16cid:durableId="1389955700">
    <w:abstractNumId w:val="14"/>
  </w:num>
  <w:num w:numId="23" w16cid:durableId="2032102405">
    <w:abstractNumId w:val="14"/>
  </w:num>
  <w:num w:numId="24" w16cid:durableId="331567949">
    <w:abstractNumId w:val="14"/>
  </w:num>
  <w:num w:numId="25" w16cid:durableId="126359679">
    <w:abstractNumId w:val="14"/>
  </w:num>
  <w:num w:numId="26" w16cid:durableId="120417707">
    <w:abstractNumId w:val="14"/>
  </w:num>
  <w:num w:numId="27" w16cid:durableId="1969630462">
    <w:abstractNumId w:val="14"/>
  </w:num>
  <w:num w:numId="28" w16cid:durableId="206297130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2E"/>
    <w:rsid w:val="0004659D"/>
    <w:rsid w:val="00076A42"/>
    <w:rsid w:val="000D0CCE"/>
    <w:rsid w:val="000E5A4E"/>
    <w:rsid w:val="00112EE3"/>
    <w:rsid w:val="001D0F8A"/>
    <w:rsid w:val="001F132C"/>
    <w:rsid w:val="00205995"/>
    <w:rsid w:val="002A25BE"/>
    <w:rsid w:val="002D260E"/>
    <w:rsid w:val="002D49AC"/>
    <w:rsid w:val="00485132"/>
    <w:rsid w:val="004C441C"/>
    <w:rsid w:val="004D74EE"/>
    <w:rsid w:val="004F7DD1"/>
    <w:rsid w:val="00526324"/>
    <w:rsid w:val="00557C92"/>
    <w:rsid w:val="005B1BC7"/>
    <w:rsid w:val="005E17FC"/>
    <w:rsid w:val="00673908"/>
    <w:rsid w:val="006B3049"/>
    <w:rsid w:val="006E7468"/>
    <w:rsid w:val="006F58A5"/>
    <w:rsid w:val="007108BA"/>
    <w:rsid w:val="0072791B"/>
    <w:rsid w:val="00740B9A"/>
    <w:rsid w:val="007E364D"/>
    <w:rsid w:val="008348D4"/>
    <w:rsid w:val="00840D75"/>
    <w:rsid w:val="0084263A"/>
    <w:rsid w:val="00885B0C"/>
    <w:rsid w:val="008940DA"/>
    <w:rsid w:val="008A552C"/>
    <w:rsid w:val="008C343E"/>
    <w:rsid w:val="00902466"/>
    <w:rsid w:val="00940B0B"/>
    <w:rsid w:val="0095760A"/>
    <w:rsid w:val="00965E2E"/>
    <w:rsid w:val="00970EA0"/>
    <w:rsid w:val="00981B66"/>
    <w:rsid w:val="009A1B01"/>
    <w:rsid w:val="009E6AF3"/>
    <w:rsid w:val="00A209F9"/>
    <w:rsid w:val="00A20ECD"/>
    <w:rsid w:val="00A36B76"/>
    <w:rsid w:val="00A80FE9"/>
    <w:rsid w:val="00AE6D94"/>
    <w:rsid w:val="00B0054A"/>
    <w:rsid w:val="00B034F2"/>
    <w:rsid w:val="00B67FC1"/>
    <w:rsid w:val="00B978A9"/>
    <w:rsid w:val="00BA0A35"/>
    <w:rsid w:val="00BC6F10"/>
    <w:rsid w:val="00BD0021"/>
    <w:rsid w:val="00C01CB0"/>
    <w:rsid w:val="00C031A4"/>
    <w:rsid w:val="00C815EB"/>
    <w:rsid w:val="00CB2AA4"/>
    <w:rsid w:val="00CE1934"/>
    <w:rsid w:val="00CE35D7"/>
    <w:rsid w:val="00D1274D"/>
    <w:rsid w:val="00D4039D"/>
    <w:rsid w:val="00D65D16"/>
    <w:rsid w:val="00E05B71"/>
    <w:rsid w:val="00ED3969"/>
    <w:rsid w:val="00F63992"/>
    <w:rsid w:val="00F90077"/>
    <w:rsid w:val="00F96ACE"/>
    <w:rsid w:val="00FF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676A11EA"/>
  <w15:docId w15:val="{DC6F5C3B-690B-471E-98F9-339C84E1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000"/>
      <w:contextualSpacing/>
      <w:outlineLvl w:val="0"/>
    </w:pPr>
    <w:rPr>
      <w:rFonts w:ascii="Calibri" w:eastAsiaTheme="minorHAnsi" w:hAnsi="Calibri" w:cstheme="minorBidi"/>
      <w:b/>
      <w:bCs/>
      <w:color w:val="004661"/>
      <w:spacing w:val="5"/>
      <w:kern w:val="28"/>
      <w:sz w:val="7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01CB0"/>
    <w:pPr>
      <w:widowControl w:val="0"/>
      <w:spacing w:after="240" w:line="240" w:lineRule="auto"/>
      <w:outlineLvl w:val="1"/>
    </w:pPr>
    <w:rPr>
      <w:rFonts w:ascii="Calibri" w:eastAsiaTheme="minorEastAsia" w:hAnsi="Calibri"/>
      <w:bCs/>
      <w:color w:val="004661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8940DA"/>
    <w:pPr>
      <w:keepNext/>
      <w:keepLines/>
      <w:numPr>
        <w:numId w:val="19"/>
      </w:numPr>
      <w:spacing w:after="40"/>
      <w:outlineLvl w:val="2"/>
    </w:pPr>
    <w:rPr>
      <w:rFonts w:ascii="Calibri" w:eastAsia="Times New Roman" w:hAnsi="Calibri"/>
      <w:b/>
      <w:bCs/>
      <w:sz w:val="36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numPr>
        <w:ilvl w:val="2"/>
        <w:numId w:val="9"/>
      </w:numPr>
      <w:spacing w:after="40"/>
      <w:outlineLvl w:val="3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4661"/>
      <w:spacing w:val="5"/>
      <w:kern w:val="28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01CB0"/>
    <w:rPr>
      <w:rFonts w:ascii="Calibri" w:eastAsiaTheme="minorEastAsia" w:hAnsi="Calibri" w:cstheme="minorBidi"/>
      <w:bCs/>
      <w:color w:val="004661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8940DA"/>
    <w:rPr>
      <w:rFonts w:ascii="Calibri" w:eastAsia="Times New Roman" w:hAnsi="Calibri"/>
      <w:b/>
      <w:bCs/>
      <w:sz w:val="3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color w:val="1D4E6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1D4E61"/>
      <w:spacing w:val="5"/>
      <w:kern w:val="28"/>
      <w:sz w:val="56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1D4E61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Pr>
      <w:rFonts w:asciiTheme="minorHAnsi" w:hAnsiTheme="minorHAnsi"/>
      <w:color w:val="0000FF" w:themeColor="hyperlink"/>
      <w:u w:val="single"/>
    </w:rPr>
  </w:style>
  <w:style w:type="paragraph" w:styleId="ListBullet">
    <w:name w:val="List Bullet"/>
    <w:basedOn w:val="Normal"/>
    <w:uiPriority w:val="7"/>
    <w:qFormat/>
    <w:pPr>
      <w:numPr>
        <w:numId w:val="13"/>
      </w:numPr>
      <w:tabs>
        <w:tab w:val="num" w:pos="284"/>
      </w:tabs>
      <w:spacing w:before="120" w:after="120"/>
      <w:ind w:left="284" w:hanging="284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13"/>
      </w:numPr>
      <w:tabs>
        <w:tab w:val="num" w:pos="567"/>
      </w:tabs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284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rFonts w:asciiTheme="minorHAnsi" w:hAnsiTheme="minorHAnsi"/>
      <w:b/>
      <w:bCs/>
    </w:rPr>
  </w:style>
  <w:style w:type="paragraph" w:customStyle="1" w:styleId="Glossary">
    <w:name w:val="Glossary"/>
    <w:basedOn w:val="Normal"/>
    <w:link w:val="GlossaryChar"/>
    <w:uiPriority w:val="28"/>
    <w:qFormat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rFonts w:asciiTheme="minorHAnsi" w:hAnsiTheme="minorHAnsi"/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aps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color w:val="004661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Normalsmall">
    <w:name w:val="Normal small"/>
    <w:qFormat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1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styleId="ListParagraph">
    <w:name w:val="List Paragraph"/>
    <w:basedOn w:val="Normal"/>
    <w:uiPriority w:val="99"/>
    <w:qFormat/>
    <w:rsid w:val="00112E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ls@dcceew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5B21DF7C67B949BF39A787400F4418" ma:contentTypeVersion="" ma:contentTypeDescription="PDMS Document Site Content Type" ma:contentTypeScope="" ma:versionID="302f2141c85a1fb92d8a327585224e30">
  <xsd:schema xmlns:xsd="http://www.w3.org/2001/XMLSchema" xmlns:xs="http://www.w3.org/2001/XMLSchema" xmlns:p="http://schemas.microsoft.com/office/2006/metadata/properties" xmlns:ns2="33793A28-4B36-4A53-B8B3-9364F9508333" targetNamespace="http://schemas.microsoft.com/office/2006/metadata/properties" ma:root="true" ma:fieldsID="9229f6401ee56690a38939517838fa57" ns2:_="">
    <xsd:import namespace="33793A28-4B36-4A53-B8B3-9364F95083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93A28-4B36-4A53-B8B3-9364F95083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793A28-4B36-4A53-B8B3-9364F950833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60BBE-A71F-443E-9249-DE3330A6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93A28-4B36-4A53-B8B3-9364F9508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2E013-9A06-454A-840D-EB23F150D8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1DA3F3-A7B9-4C3A-A827-521703D03BF7}">
  <ds:schemaRefs>
    <ds:schemaRef ds:uri="33793A28-4B36-4A53-B8B3-9364F9508333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FCD4BF-3031-417F-BFC0-53707E0CD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WELS Regulator advice: requirements for dual-purpose tapware products</vt:lpstr>
    </vt:vector>
  </TitlesOfParts>
  <Manager/>
  <Company/>
  <LinksUpToDate>false</LinksUpToDate>
  <CharactersWithSpaces>2664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 Regulator advice: requirements for dual-purpose tapware products</dc:title>
  <dc:subject>
  </dc:subject>
  <dc:creator>Department of Climate Change, Energy, the Environment and Water</dc:creator>
  <cp:keywords>
  </cp:keywords>
  <dc:description>
  </dc:description>
  <cp:lastModifiedBy>Nguyen, Lien</cp:lastModifiedBy>
  <cp:revision>3</cp:revision>
  <cp:lastPrinted>2017-12-21T01:19:00Z</cp:lastPrinted>
  <dcterms:created xsi:type="dcterms:W3CDTF">2022-12-20T02:38:00Z</dcterms:created>
  <dcterms:modified xsi:type="dcterms:W3CDTF">2022-12-21T00:55:00Z</dcterms:modified>
  <cp:contentStatus>
 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0x010100266966F133664895A6EE3632470D45F5003A5B21DF7C67B949BF39A787400F4418</vt:lpwstr>
  </property>
</Properties>
</file>