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6558" w14:textId="74033DA5" w:rsidR="00965E2E" w:rsidRDefault="001D0F8A" w:rsidP="00617893">
      <w:pPr>
        <w:pStyle w:val="Heading1"/>
        <w:jc w:val="center"/>
      </w:pPr>
      <w:r>
        <w:t xml:space="preserve">WELS </w:t>
      </w:r>
      <w:r w:rsidR="00B0054A">
        <w:t>Strategic Plan</w:t>
      </w:r>
    </w:p>
    <w:p w14:paraId="143EB6EA" w14:textId="2202E464" w:rsidR="00965E2E" w:rsidRDefault="001D0F8A" w:rsidP="00617893">
      <w:pPr>
        <w:pStyle w:val="Subtitle"/>
        <w:jc w:val="center"/>
      </w:pPr>
      <w:r>
        <w:t xml:space="preserve">Our focus </w:t>
      </w:r>
      <w:r w:rsidRPr="00BA0A35">
        <w:t>for</w:t>
      </w:r>
      <w:r>
        <w:t xml:space="preserve"> 20</w:t>
      </w:r>
      <w:r w:rsidR="00B0054A">
        <w:t>22</w:t>
      </w:r>
      <w:r>
        <w:t xml:space="preserve"> to 202</w:t>
      </w:r>
      <w:r w:rsidR="00B0054A">
        <w:t>5</w:t>
      </w:r>
    </w:p>
    <w:p w14:paraId="44FBEF99" w14:textId="77777777" w:rsidR="00965E2E" w:rsidRDefault="001D0F8A" w:rsidP="00617893">
      <w:pPr>
        <w:pStyle w:val="Author"/>
        <w:jc w:val="center"/>
        <w:rPr>
          <w:lang w:val="es-ES"/>
        </w:rPr>
      </w:pPr>
      <w:r w:rsidRPr="00BA0A35">
        <w:t>Water Efficiency</w:t>
      </w:r>
      <w:r>
        <w:rPr>
          <w:lang w:val="es-ES"/>
        </w:rPr>
        <w:t xml:space="preserve"> </w:t>
      </w:r>
      <w:r w:rsidRPr="00BA0A35">
        <w:t>Labelling</w:t>
      </w:r>
      <w:r>
        <w:rPr>
          <w:lang w:val="es-ES"/>
        </w:rPr>
        <w:t xml:space="preserve"> and</w:t>
      </w:r>
      <w:r>
        <w:t xml:space="preserve"> Standards</w:t>
      </w:r>
      <w:r w:rsidRPr="00BA0A35">
        <w:t xml:space="preserve"> Regulator</w:t>
      </w:r>
    </w:p>
    <w:p w14:paraId="666D14E2" w14:textId="01C7059C" w:rsidR="00617893" w:rsidRDefault="00617893"/>
    <w:p w14:paraId="4DDFFC15" w14:textId="0500AE2A" w:rsidR="00965E2E" w:rsidRDefault="00965E2E" w:rsidP="00B0054A">
      <w:pPr>
        <w:pStyle w:val="Normalsmall"/>
      </w:pPr>
    </w:p>
    <w:p w14:paraId="072FB995" w14:textId="54E4772C" w:rsidR="00617893" w:rsidRPr="00617893" w:rsidRDefault="00F44F42" w:rsidP="00617893">
      <w:pPr>
        <w:spacing w:after="0" w:line="240" w:lineRule="auto"/>
        <w:jc w:val="center"/>
        <w:rPr>
          <w:b/>
          <w:sz w:val="28"/>
          <w:szCs w:val="28"/>
          <w:lang w:val="es-ES"/>
        </w:rPr>
      </w:pPr>
      <w:bookmarkStart w:id="0" w:name="_Toc430782150"/>
      <w:r>
        <w:t xml:space="preserve">October </w:t>
      </w:r>
      <w:r w:rsidR="00617893">
        <w:t>2022</w:t>
      </w:r>
    </w:p>
    <w:p w14:paraId="267494C5" w14:textId="77777777" w:rsidR="00965E2E" w:rsidRDefault="00965E2E">
      <w:pPr>
        <w:pStyle w:val="Heading2"/>
        <w:sectPr w:rsidR="00965E2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fmt="lowerRoman"/>
          <w:cols w:space="708"/>
          <w:titlePg/>
          <w:docGrid w:linePitch="360"/>
        </w:sectPr>
      </w:pPr>
    </w:p>
    <w:p w14:paraId="617C18C4" w14:textId="22E15985" w:rsidR="00965E2E" w:rsidRDefault="001D0F8A">
      <w:pPr>
        <w:pStyle w:val="Heading2"/>
      </w:pPr>
      <w:r>
        <w:lastRenderedPageBreak/>
        <w:t>Introduction</w:t>
      </w:r>
      <w:bookmarkEnd w:id="0"/>
    </w:p>
    <w:p w14:paraId="39468937" w14:textId="4E2D628D" w:rsidR="00874C22" w:rsidRDefault="00874C22" w:rsidP="00874C22">
      <w:pPr>
        <w:rPr>
          <w:highlight w:val="lightGray"/>
        </w:rPr>
      </w:pPr>
      <w:r w:rsidRPr="00874C22">
        <w:t>The Water Efficiency Labelling and Standards (WELS) scheme is Australia's urban water saving scheme. WELS reduces demand for high quality drinkable water by informing consumers about water efficiency at the point of sale.</w:t>
      </w:r>
    </w:p>
    <w:p w14:paraId="0F4B66C2" w14:textId="1C675F85" w:rsidR="00874C22" w:rsidRPr="00874C22" w:rsidRDefault="00874C22" w:rsidP="007D13DF">
      <w:pPr>
        <w:spacing w:after="120" w:line="240" w:lineRule="auto"/>
      </w:pPr>
      <w:bookmarkStart w:id="1" w:name="_Hlk92973902"/>
      <w:r>
        <w:t xml:space="preserve">The scheme </w:t>
      </w:r>
      <w:r w:rsidR="005B4630">
        <w:t>wa</w:t>
      </w:r>
      <w:r>
        <w:t xml:space="preserve">s established under the </w:t>
      </w:r>
      <w:r w:rsidRPr="00874C22">
        <w:rPr>
          <w:i/>
          <w:iCs/>
        </w:rPr>
        <w:t>Water Efficiency Labelling and Standards Act 2005</w:t>
      </w:r>
      <w:r>
        <w:t xml:space="preserve"> </w:t>
      </w:r>
      <w:r w:rsidRPr="00874C22">
        <w:t>and corresponding state and territory legislation</w:t>
      </w:r>
      <w:r>
        <w:t xml:space="preserve">. </w:t>
      </w:r>
      <w:r w:rsidRPr="00874C22">
        <w:t>The objectives of the WELS Act are to:</w:t>
      </w:r>
    </w:p>
    <w:p w14:paraId="5AB1CFE8" w14:textId="77777777" w:rsidR="00874C22" w:rsidRPr="00874C22" w:rsidRDefault="00874C22" w:rsidP="007D13DF">
      <w:pPr>
        <w:spacing w:after="120" w:line="240" w:lineRule="auto"/>
      </w:pPr>
      <w:r w:rsidRPr="00874C22">
        <w:t>• conserve water supplies by reducing water consumption</w:t>
      </w:r>
    </w:p>
    <w:p w14:paraId="7281D04B" w14:textId="77777777" w:rsidR="00874C22" w:rsidRPr="00874C22" w:rsidRDefault="00874C22" w:rsidP="007D13DF">
      <w:pPr>
        <w:spacing w:after="120" w:line="240" w:lineRule="auto"/>
      </w:pPr>
      <w:r w:rsidRPr="00874C22">
        <w:t>• provide information for purchasers of water-use and water-saving products</w:t>
      </w:r>
    </w:p>
    <w:p w14:paraId="7920C55A" w14:textId="52DDC980" w:rsidR="00874C22" w:rsidRDefault="00874C22" w:rsidP="00874C22">
      <w:pPr>
        <w:spacing w:line="240" w:lineRule="auto"/>
      </w:pPr>
      <w:r w:rsidRPr="00874C22">
        <w:t xml:space="preserve">• </w:t>
      </w:r>
      <w:bookmarkStart w:id="2" w:name="_Hlk92899411"/>
      <w:r w:rsidRPr="00874C22">
        <w:t>promote the adoption of efficient and effective water-use and water-saving technologies</w:t>
      </w:r>
      <w:bookmarkEnd w:id="2"/>
      <w:r w:rsidRPr="00874C22">
        <w:t>.</w:t>
      </w:r>
    </w:p>
    <w:p w14:paraId="21881655" w14:textId="24447A41" w:rsidR="00874C22" w:rsidRDefault="005B4630" w:rsidP="005B4630">
      <w:pPr>
        <w:spacing w:line="240" w:lineRule="auto"/>
      </w:pPr>
      <w:r>
        <w:t xml:space="preserve">The WELS Regulator, within the Australian Government Department of </w:t>
      </w:r>
      <w:r w:rsidR="002A791D">
        <w:t xml:space="preserve">Climate Change, Energy, the Environment and </w:t>
      </w:r>
      <w:r>
        <w:t xml:space="preserve">Water, leads the </w:t>
      </w:r>
      <w:r w:rsidRPr="005B4630">
        <w:t>administ</w:t>
      </w:r>
      <w:r>
        <w:t>ration</w:t>
      </w:r>
      <w:r w:rsidRPr="005B4630">
        <w:t xml:space="preserve"> </w:t>
      </w:r>
      <w:r w:rsidR="0012734E">
        <w:t xml:space="preserve">of </w:t>
      </w:r>
      <w:r w:rsidRPr="005B4630">
        <w:t>the scheme on behalf of all governments</w:t>
      </w:r>
      <w:bookmarkEnd w:id="1"/>
      <w:r w:rsidRPr="005B4630">
        <w:t xml:space="preserve">. </w:t>
      </w:r>
      <w:r w:rsidR="00490FE5">
        <w:t>The success of the scheme depends on the partnership between industry and governments.</w:t>
      </w:r>
    </w:p>
    <w:p w14:paraId="78A049DE" w14:textId="078727C5" w:rsidR="005E53C2" w:rsidRDefault="005B4630" w:rsidP="005B4630">
      <w:pPr>
        <w:spacing w:line="240" w:lineRule="auto"/>
      </w:pPr>
      <w:r>
        <w:t xml:space="preserve">The scheme </w:t>
      </w:r>
      <w:r w:rsidR="00490FE5">
        <w:t>continues to</w:t>
      </w:r>
      <w:r>
        <w:t xml:space="preserve"> deliver </w:t>
      </w:r>
      <w:r w:rsidR="002E5404">
        <w:t xml:space="preserve">significant </w:t>
      </w:r>
      <w:r>
        <w:t xml:space="preserve">benefits to all Australians. </w:t>
      </w:r>
      <w:r w:rsidRPr="005B4630">
        <w:t>The environmental and economic benefits of consumers choosing water</w:t>
      </w:r>
      <w:r w:rsidRPr="005B4630">
        <w:rPr>
          <w:rFonts w:ascii="Cambria Math" w:hAnsi="Cambria Math" w:cs="Cambria Math"/>
        </w:rPr>
        <w:t>‑</w:t>
      </w:r>
      <w:r w:rsidRPr="005B4630">
        <w:t>efficient models are estimated</w:t>
      </w:r>
      <w:r w:rsidR="002E5404">
        <w:t xml:space="preserve"> to</w:t>
      </w:r>
      <w:r w:rsidR="009B2AEC">
        <w:t xml:space="preserve"> annually save</w:t>
      </w:r>
      <w:r w:rsidRPr="005B4630">
        <w:t xml:space="preserve"> </w:t>
      </w:r>
      <w:r w:rsidR="002E5404">
        <w:t xml:space="preserve">over </w:t>
      </w:r>
      <w:r w:rsidRPr="005B4630">
        <w:t>1</w:t>
      </w:r>
      <w:r w:rsidR="001E1964">
        <w:t>58</w:t>
      </w:r>
      <w:r w:rsidR="002E5404">
        <w:t> </w:t>
      </w:r>
      <w:r w:rsidRPr="005B4630">
        <w:t>GL of water</w:t>
      </w:r>
      <w:r w:rsidR="009B2AEC">
        <w:t xml:space="preserve"> </w:t>
      </w:r>
      <w:r w:rsidR="002E5404">
        <w:t xml:space="preserve">and </w:t>
      </w:r>
      <w:r w:rsidRPr="005B4630">
        <w:t>$1.</w:t>
      </w:r>
      <w:r w:rsidR="001E1964">
        <w:t>4</w:t>
      </w:r>
      <w:r w:rsidRPr="005B4630">
        <w:t xml:space="preserve"> billion in water and water-heating utility bills</w:t>
      </w:r>
      <w:r w:rsidR="002E5404">
        <w:t xml:space="preserve"> in homes and businesses across Australia.</w:t>
      </w:r>
    </w:p>
    <w:p w14:paraId="39C4D1B3" w14:textId="5BBCAB19" w:rsidR="002E5404" w:rsidRDefault="002E5404" w:rsidP="005B4630">
      <w:pPr>
        <w:spacing w:line="240" w:lineRule="auto"/>
      </w:pPr>
      <w:r>
        <w:t xml:space="preserve">The star rating of products by the WELS scheme also provides significant indirect benefits by providing a reference </w:t>
      </w:r>
      <w:r w:rsidR="006824A2">
        <w:t xml:space="preserve">framework </w:t>
      </w:r>
      <w:r>
        <w:t>for many government, water utility and industry</w:t>
      </w:r>
      <w:r w:rsidR="004621FD">
        <w:t>-</w:t>
      </w:r>
      <w:r>
        <w:t>led schemes</w:t>
      </w:r>
      <w:r w:rsidR="008465B1">
        <w:t xml:space="preserve">, </w:t>
      </w:r>
      <w:proofErr w:type="gramStart"/>
      <w:r w:rsidR="008465B1">
        <w:t>legislation</w:t>
      </w:r>
      <w:proofErr w:type="gramEnd"/>
      <w:r>
        <w:t xml:space="preserve"> and initiatives. This includes sustainable development schemes, product exchange programs and water saving education campaigns</w:t>
      </w:r>
      <w:r w:rsidR="009B7606">
        <w:t xml:space="preserve"> that rely on products being rated for their water efficiency</w:t>
      </w:r>
      <w:r>
        <w:t xml:space="preserve">. </w:t>
      </w:r>
    </w:p>
    <w:p w14:paraId="5864123D" w14:textId="1DAE0447" w:rsidR="005B4630" w:rsidRPr="00874C22" w:rsidRDefault="005B4630" w:rsidP="005B4630">
      <w:pPr>
        <w:spacing w:line="240" w:lineRule="auto"/>
      </w:pPr>
      <w:r>
        <w:t>This document sets out the priorities and funding for the administration of the WEL</w:t>
      </w:r>
      <w:r w:rsidR="00490FE5">
        <w:t>S</w:t>
      </w:r>
      <w:r>
        <w:t xml:space="preserve"> scheme for 2022 to 2025.</w:t>
      </w:r>
    </w:p>
    <w:p w14:paraId="33E1ABC6" w14:textId="42A42AD7" w:rsidR="00965E2E" w:rsidRDefault="00A80FE9" w:rsidP="00F96ACE">
      <w:pPr>
        <w:pStyle w:val="Heading2"/>
      </w:pPr>
      <w:bookmarkStart w:id="3" w:name="_Toc500841156"/>
      <w:r>
        <w:t>Priorities</w:t>
      </w:r>
      <w:r w:rsidR="00F96ACE">
        <w:t xml:space="preserve"> </w:t>
      </w:r>
      <w:r>
        <w:t>for</w:t>
      </w:r>
      <w:r w:rsidR="00F96ACE">
        <w:t xml:space="preserve"> deliver</w:t>
      </w:r>
      <w:r>
        <w:t>ing</w:t>
      </w:r>
      <w:r w:rsidR="00F96ACE">
        <w:t xml:space="preserve"> the objectives of the WELS Act</w:t>
      </w:r>
      <w:bookmarkEnd w:id="3"/>
    </w:p>
    <w:p w14:paraId="151A8FB2" w14:textId="3D18A88D" w:rsidR="008940DA" w:rsidRDefault="005B4630" w:rsidP="008940DA">
      <w:pPr>
        <w:rPr>
          <w:lang w:eastAsia="ja-JP"/>
        </w:rPr>
      </w:pPr>
      <w:r>
        <w:rPr>
          <w:lang w:eastAsia="ja-JP"/>
        </w:rPr>
        <w:t xml:space="preserve">These priorities have been informed by broad stakeholder engagement, lawful obligations of government, independent reviews and audits, and government strategies </w:t>
      </w:r>
      <w:r w:rsidR="002A2F2F">
        <w:rPr>
          <w:lang w:eastAsia="ja-JP"/>
        </w:rPr>
        <w:t>aimed at</w:t>
      </w:r>
      <w:r>
        <w:rPr>
          <w:lang w:eastAsia="ja-JP"/>
        </w:rPr>
        <w:t xml:space="preserve"> driving better regulatory practice</w:t>
      </w:r>
      <w:r w:rsidR="0012734E">
        <w:rPr>
          <w:lang w:eastAsia="ja-JP"/>
        </w:rPr>
        <w:t xml:space="preserve"> and </w:t>
      </w:r>
      <w:r w:rsidR="001E1964">
        <w:rPr>
          <w:lang w:eastAsia="ja-JP"/>
        </w:rPr>
        <w:t xml:space="preserve">future-proofing </w:t>
      </w:r>
      <w:r w:rsidR="00493525">
        <w:rPr>
          <w:lang w:eastAsia="ja-JP"/>
        </w:rPr>
        <w:t>Australia’s water resources</w:t>
      </w:r>
      <w:r>
        <w:rPr>
          <w:lang w:eastAsia="ja-JP"/>
        </w:rPr>
        <w:t>.</w:t>
      </w:r>
    </w:p>
    <w:p w14:paraId="696CBD15" w14:textId="574915AD" w:rsidR="004D74EE" w:rsidRDefault="004D74EE" w:rsidP="00A80FE9">
      <w:pPr>
        <w:pStyle w:val="Heading3"/>
        <w:ind w:left="284"/>
        <w:rPr>
          <w:lang w:eastAsia="ja-JP"/>
        </w:rPr>
      </w:pPr>
      <w:r>
        <w:rPr>
          <w:lang w:eastAsia="ja-JP"/>
        </w:rPr>
        <w:t xml:space="preserve">Deliver </w:t>
      </w:r>
      <w:r w:rsidR="007D5DF8">
        <w:rPr>
          <w:lang w:eastAsia="ja-JP"/>
        </w:rPr>
        <w:t xml:space="preserve">WELS </w:t>
      </w:r>
      <w:r>
        <w:rPr>
          <w:lang w:eastAsia="ja-JP"/>
        </w:rPr>
        <w:t>product ratings and registrations</w:t>
      </w:r>
    </w:p>
    <w:p w14:paraId="17A94023" w14:textId="1CAEDD18" w:rsidR="004D74EE" w:rsidRDefault="00DB2AE3" w:rsidP="00427D1D">
      <w:pPr>
        <w:spacing w:before="240"/>
        <w:ind w:left="-74"/>
        <w:rPr>
          <w:lang w:eastAsia="ja-JP"/>
        </w:rPr>
      </w:pPr>
      <w:r>
        <w:rPr>
          <w:lang w:eastAsia="ja-JP"/>
        </w:rPr>
        <w:t>As part of core business, the WELS Regulator will c</w:t>
      </w:r>
      <w:r w:rsidR="00A80FE9">
        <w:rPr>
          <w:lang w:eastAsia="ja-JP"/>
        </w:rPr>
        <w:t>ontinue to deliver assessments of product registration applications and renewals efficiently and effectively, provid</w:t>
      </w:r>
      <w:r w:rsidR="0012734E">
        <w:rPr>
          <w:lang w:eastAsia="ja-JP"/>
        </w:rPr>
        <w:t>e</w:t>
      </w:r>
      <w:r w:rsidR="00A80FE9">
        <w:rPr>
          <w:lang w:eastAsia="ja-JP"/>
        </w:rPr>
        <w:t xml:space="preserve"> advice to national and international registrants, and support </w:t>
      </w:r>
      <w:r w:rsidR="0012734E">
        <w:rPr>
          <w:lang w:eastAsia="ja-JP"/>
        </w:rPr>
        <w:t xml:space="preserve">improvements to </w:t>
      </w:r>
      <w:r w:rsidR="00A80FE9">
        <w:rPr>
          <w:lang w:eastAsia="ja-JP"/>
        </w:rPr>
        <w:t>the registration database.</w:t>
      </w:r>
    </w:p>
    <w:p w14:paraId="67D24B2C" w14:textId="63955F7E" w:rsidR="00FF2BCC" w:rsidRDefault="00FF2BCC" w:rsidP="00A80FE9">
      <w:pPr>
        <w:pStyle w:val="Heading3"/>
        <w:ind w:left="284"/>
        <w:rPr>
          <w:lang w:eastAsia="ja-JP"/>
        </w:rPr>
      </w:pPr>
      <w:r>
        <w:rPr>
          <w:lang w:eastAsia="ja-JP"/>
        </w:rPr>
        <w:lastRenderedPageBreak/>
        <w:t>Improve</w:t>
      </w:r>
      <w:r w:rsidRPr="004D74EE">
        <w:rPr>
          <w:lang w:eastAsia="ja-JP"/>
        </w:rPr>
        <w:t xml:space="preserve"> </w:t>
      </w:r>
      <w:r>
        <w:rPr>
          <w:lang w:eastAsia="ja-JP"/>
        </w:rPr>
        <w:t xml:space="preserve">the </w:t>
      </w:r>
      <w:r w:rsidR="007D5DF8">
        <w:rPr>
          <w:lang w:eastAsia="ja-JP"/>
        </w:rPr>
        <w:t xml:space="preserve">WELS </w:t>
      </w:r>
      <w:r w:rsidR="00A80FE9">
        <w:rPr>
          <w:lang w:eastAsia="ja-JP"/>
        </w:rPr>
        <w:t xml:space="preserve">registration </w:t>
      </w:r>
      <w:r>
        <w:rPr>
          <w:lang w:eastAsia="ja-JP"/>
        </w:rPr>
        <w:t>database</w:t>
      </w:r>
      <w:r w:rsidR="00A80FE9">
        <w:rPr>
          <w:lang w:eastAsia="ja-JP"/>
        </w:rPr>
        <w:t xml:space="preserve"> </w:t>
      </w:r>
    </w:p>
    <w:p w14:paraId="1360C812" w14:textId="76E2389A" w:rsidR="00FF2BCC" w:rsidRDefault="00902466" w:rsidP="00427D1D">
      <w:pPr>
        <w:spacing w:before="240"/>
        <w:ind w:left="-74"/>
        <w:rPr>
          <w:lang w:eastAsia="ja-JP"/>
        </w:rPr>
      </w:pPr>
      <w:r>
        <w:rPr>
          <w:lang w:eastAsia="ja-JP"/>
        </w:rPr>
        <w:t xml:space="preserve">Opportunities to align registration processes with </w:t>
      </w:r>
      <w:r w:rsidR="00552402">
        <w:rPr>
          <w:lang w:eastAsia="ja-JP"/>
        </w:rPr>
        <w:t xml:space="preserve">the </w:t>
      </w:r>
      <w:r>
        <w:rPr>
          <w:lang w:eastAsia="ja-JP"/>
        </w:rPr>
        <w:t xml:space="preserve">GEMS Energy Rating and </w:t>
      </w:r>
      <w:proofErr w:type="spellStart"/>
      <w:r>
        <w:rPr>
          <w:lang w:eastAsia="ja-JP"/>
        </w:rPr>
        <w:t>WaterMark</w:t>
      </w:r>
      <w:proofErr w:type="spellEnd"/>
      <w:r>
        <w:rPr>
          <w:lang w:eastAsia="ja-JP"/>
        </w:rPr>
        <w:t xml:space="preserve"> schemes will be explored collaboratively</w:t>
      </w:r>
      <w:r w:rsidR="007D5DF8">
        <w:rPr>
          <w:lang w:eastAsia="ja-JP"/>
        </w:rPr>
        <w:t>. B</w:t>
      </w:r>
      <w:r>
        <w:rPr>
          <w:lang w:eastAsia="ja-JP"/>
        </w:rPr>
        <w:t>y engaging with a wide range of external stakeholders</w:t>
      </w:r>
      <w:r w:rsidR="00552402">
        <w:rPr>
          <w:lang w:eastAsia="ja-JP"/>
        </w:rPr>
        <w:t>,</w:t>
      </w:r>
      <w:r>
        <w:rPr>
          <w:lang w:eastAsia="ja-JP"/>
        </w:rPr>
        <w:t xml:space="preserve"> improve</w:t>
      </w:r>
      <w:r w:rsidR="007D5DF8">
        <w:rPr>
          <w:lang w:eastAsia="ja-JP"/>
        </w:rPr>
        <w:t>ments will be made to</w:t>
      </w:r>
      <w:r>
        <w:rPr>
          <w:lang w:eastAsia="ja-JP"/>
        </w:rPr>
        <w:t xml:space="preserve"> </w:t>
      </w:r>
      <w:r w:rsidR="007D5DF8">
        <w:rPr>
          <w:lang w:eastAsia="ja-JP"/>
        </w:rPr>
        <w:t xml:space="preserve">the </w:t>
      </w:r>
      <w:r>
        <w:rPr>
          <w:lang w:eastAsia="ja-JP"/>
        </w:rPr>
        <w:t xml:space="preserve">user experience when registering products </w:t>
      </w:r>
      <w:r w:rsidR="007D5DF8">
        <w:rPr>
          <w:lang w:eastAsia="ja-JP"/>
        </w:rPr>
        <w:t xml:space="preserve">and </w:t>
      </w:r>
      <w:r>
        <w:rPr>
          <w:lang w:eastAsia="ja-JP"/>
        </w:rPr>
        <w:t xml:space="preserve">searching the </w:t>
      </w:r>
      <w:r w:rsidR="007D5DF8">
        <w:rPr>
          <w:lang w:eastAsia="ja-JP"/>
        </w:rPr>
        <w:t xml:space="preserve">registration </w:t>
      </w:r>
      <w:r>
        <w:rPr>
          <w:lang w:eastAsia="ja-JP"/>
        </w:rPr>
        <w:t>database to find products or water efficiency</w:t>
      </w:r>
      <w:r w:rsidR="007D5DF8">
        <w:rPr>
          <w:lang w:eastAsia="ja-JP"/>
        </w:rPr>
        <w:t xml:space="preserve"> information</w:t>
      </w:r>
      <w:r>
        <w:rPr>
          <w:lang w:eastAsia="ja-JP"/>
        </w:rPr>
        <w:t>.</w:t>
      </w:r>
    </w:p>
    <w:p w14:paraId="7B2B6B57" w14:textId="0177D446" w:rsidR="00902466" w:rsidRDefault="00902466" w:rsidP="00A80FE9">
      <w:pPr>
        <w:ind w:left="-76"/>
        <w:rPr>
          <w:lang w:eastAsia="ja-JP"/>
        </w:rPr>
      </w:pPr>
      <w:r>
        <w:rPr>
          <w:lang w:eastAsia="ja-JP"/>
        </w:rPr>
        <w:t>Improvements will include automating processes to streamline and shorten assessment timeframes, allowing registered products to reach the market sooner.</w:t>
      </w:r>
    </w:p>
    <w:p w14:paraId="51A6E51F" w14:textId="38986DD5" w:rsidR="00902466" w:rsidRDefault="006F01B0" w:rsidP="00A80FE9">
      <w:pPr>
        <w:ind w:left="-76"/>
        <w:rPr>
          <w:lang w:eastAsia="ja-JP"/>
        </w:rPr>
      </w:pPr>
      <w:r>
        <w:rPr>
          <w:lang w:eastAsia="ja-JP"/>
        </w:rPr>
        <w:t xml:space="preserve">All </w:t>
      </w:r>
      <w:r w:rsidR="009B5277">
        <w:rPr>
          <w:lang w:eastAsia="ja-JP"/>
        </w:rPr>
        <w:t xml:space="preserve">significant </w:t>
      </w:r>
      <w:r w:rsidR="00902466">
        <w:rPr>
          <w:lang w:eastAsia="ja-JP"/>
        </w:rPr>
        <w:t xml:space="preserve">changes to the </w:t>
      </w:r>
      <w:r w:rsidR="007D5DF8">
        <w:rPr>
          <w:lang w:eastAsia="ja-JP"/>
        </w:rPr>
        <w:t xml:space="preserve">registration database </w:t>
      </w:r>
      <w:r w:rsidR="00902466">
        <w:rPr>
          <w:lang w:eastAsia="ja-JP"/>
        </w:rPr>
        <w:t xml:space="preserve">will be developed in consultation with industry and </w:t>
      </w:r>
      <w:r w:rsidR="000E5A4E">
        <w:rPr>
          <w:lang w:eastAsia="ja-JP"/>
        </w:rPr>
        <w:t xml:space="preserve">implemented with support and minimal </w:t>
      </w:r>
      <w:r w:rsidR="00902466">
        <w:rPr>
          <w:lang w:eastAsia="ja-JP"/>
        </w:rPr>
        <w:t>business disruption.</w:t>
      </w:r>
    </w:p>
    <w:p w14:paraId="076566E5" w14:textId="19D28104" w:rsidR="00FF2BCC" w:rsidRDefault="00FF2BCC" w:rsidP="00A80FE9">
      <w:pPr>
        <w:pStyle w:val="Heading3"/>
        <w:ind w:left="284"/>
        <w:rPr>
          <w:lang w:eastAsia="ja-JP"/>
        </w:rPr>
      </w:pPr>
      <w:r w:rsidRPr="004D74EE">
        <w:rPr>
          <w:lang w:eastAsia="ja-JP"/>
        </w:rPr>
        <w:t>Strengthen</w:t>
      </w:r>
      <w:r>
        <w:rPr>
          <w:lang w:eastAsia="ja-JP"/>
        </w:rPr>
        <w:t xml:space="preserve"> and expand</w:t>
      </w:r>
      <w:r w:rsidRPr="004D74EE">
        <w:rPr>
          <w:lang w:eastAsia="ja-JP"/>
        </w:rPr>
        <w:t xml:space="preserve"> the </w:t>
      </w:r>
      <w:r w:rsidR="007D5DF8">
        <w:rPr>
          <w:lang w:eastAsia="ja-JP"/>
        </w:rPr>
        <w:t xml:space="preserve">WELS </w:t>
      </w:r>
      <w:r w:rsidRPr="004D74EE">
        <w:rPr>
          <w:lang w:eastAsia="ja-JP"/>
        </w:rPr>
        <w:t>compliance program</w:t>
      </w:r>
    </w:p>
    <w:p w14:paraId="6B3AC8E7" w14:textId="77777777" w:rsidR="00493525" w:rsidRDefault="00B67FC1" w:rsidP="00427D1D">
      <w:pPr>
        <w:spacing w:before="240"/>
        <w:ind w:left="-74"/>
        <w:rPr>
          <w:lang w:eastAsia="ja-JP"/>
        </w:rPr>
      </w:pPr>
      <w:r>
        <w:rPr>
          <w:lang w:eastAsia="ja-JP"/>
        </w:rPr>
        <w:t xml:space="preserve">A revised Compliance and </w:t>
      </w:r>
      <w:r w:rsidR="006F01B0">
        <w:rPr>
          <w:lang w:eastAsia="ja-JP"/>
        </w:rPr>
        <w:t>E</w:t>
      </w:r>
      <w:r>
        <w:rPr>
          <w:lang w:eastAsia="ja-JP"/>
        </w:rPr>
        <w:t xml:space="preserve">nforcement </w:t>
      </w:r>
      <w:r w:rsidR="007D5DF8">
        <w:rPr>
          <w:lang w:eastAsia="ja-JP"/>
        </w:rPr>
        <w:t>P</w:t>
      </w:r>
      <w:r>
        <w:rPr>
          <w:lang w:eastAsia="ja-JP"/>
        </w:rPr>
        <w:t>olicy will be published</w:t>
      </w:r>
      <w:r w:rsidR="007D5DF8">
        <w:rPr>
          <w:lang w:eastAsia="ja-JP"/>
        </w:rPr>
        <w:t>.</w:t>
      </w:r>
      <w:r>
        <w:rPr>
          <w:lang w:eastAsia="ja-JP"/>
        </w:rPr>
        <w:t xml:space="preserve"> </w:t>
      </w:r>
    </w:p>
    <w:p w14:paraId="39C1F62F" w14:textId="29FDCC1D" w:rsidR="00027144" w:rsidRDefault="00027144" w:rsidP="00493525">
      <w:pPr>
        <w:spacing w:before="240"/>
        <w:ind w:left="-74"/>
        <w:rPr>
          <w:lang w:eastAsia="ja-JP"/>
        </w:rPr>
      </w:pPr>
      <w:r>
        <w:rPr>
          <w:lang w:eastAsia="ja-JP"/>
        </w:rPr>
        <w:t xml:space="preserve">Annual targeting plans will be published on the </w:t>
      </w:r>
      <w:hyperlink r:id="rId17" w:history="1">
        <w:r w:rsidR="007D5DF8" w:rsidRPr="007D5DF8">
          <w:rPr>
            <w:rStyle w:val="Hyperlink"/>
            <w:lang w:eastAsia="ja-JP"/>
          </w:rPr>
          <w:t>W</w:t>
        </w:r>
        <w:r w:rsidRPr="007D5DF8">
          <w:rPr>
            <w:rStyle w:val="Hyperlink"/>
            <w:lang w:eastAsia="ja-JP"/>
          </w:rPr>
          <w:t xml:space="preserve">ater </w:t>
        </w:r>
        <w:r w:rsidR="007D5DF8" w:rsidRPr="007D5DF8">
          <w:rPr>
            <w:rStyle w:val="Hyperlink"/>
            <w:lang w:eastAsia="ja-JP"/>
          </w:rPr>
          <w:t>R</w:t>
        </w:r>
        <w:r w:rsidRPr="007D5DF8">
          <w:rPr>
            <w:rStyle w:val="Hyperlink"/>
            <w:lang w:eastAsia="ja-JP"/>
          </w:rPr>
          <w:t>ating</w:t>
        </w:r>
      </w:hyperlink>
      <w:r>
        <w:rPr>
          <w:lang w:eastAsia="ja-JP"/>
        </w:rPr>
        <w:t xml:space="preserve"> website.</w:t>
      </w:r>
      <w:r w:rsidR="00493525">
        <w:rPr>
          <w:lang w:eastAsia="ja-JP"/>
        </w:rPr>
        <w:t xml:space="preserve"> These plans will be informed by stakeholder views about where the risks of non-compliance with the scheme are likely to be occurring.</w:t>
      </w:r>
    </w:p>
    <w:p w14:paraId="4CD0BE9C" w14:textId="39608585" w:rsidR="00B67FC1" w:rsidRDefault="00B67FC1" w:rsidP="000E5A4E">
      <w:pPr>
        <w:ind w:left="-76"/>
        <w:rPr>
          <w:lang w:eastAsia="ja-JP"/>
        </w:rPr>
      </w:pPr>
      <w:r>
        <w:rPr>
          <w:lang w:eastAsia="ja-JP"/>
        </w:rPr>
        <w:t xml:space="preserve">The </w:t>
      </w:r>
      <w:r w:rsidR="007D5DF8">
        <w:rPr>
          <w:lang w:eastAsia="ja-JP"/>
        </w:rPr>
        <w:t xml:space="preserve">compliance </w:t>
      </w:r>
      <w:r>
        <w:rPr>
          <w:lang w:eastAsia="ja-JP"/>
        </w:rPr>
        <w:t>program will include working to</w:t>
      </w:r>
      <w:r w:rsidR="00464FDB">
        <w:rPr>
          <w:lang w:eastAsia="ja-JP"/>
        </w:rPr>
        <w:t>wards</w:t>
      </w:r>
      <w:r>
        <w:rPr>
          <w:lang w:eastAsia="ja-JP"/>
        </w:rPr>
        <w:t xml:space="preserve"> implement</w:t>
      </w:r>
      <w:r w:rsidR="00464FDB">
        <w:rPr>
          <w:lang w:eastAsia="ja-JP"/>
        </w:rPr>
        <w:t>ing</w:t>
      </w:r>
      <w:r>
        <w:rPr>
          <w:lang w:eastAsia="ja-JP"/>
        </w:rPr>
        <w:t xml:space="preserve"> a check testing program in collaboration with co-regulators and </w:t>
      </w:r>
      <w:r w:rsidR="00464FDB">
        <w:rPr>
          <w:lang w:eastAsia="ja-JP"/>
        </w:rPr>
        <w:t xml:space="preserve">to </w:t>
      </w:r>
      <w:r w:rsidR="00757925">
        <w:rPr>
          <w:lang w:eastAsia="ja-JP"/>
        </w:rPr>
        <w:t>progress</w:t>
      </w:r>
      <w:r>
        <w:rPr>
          <w:lang w:eastAsia="ja-JP"/>
        </w:rPr>
        <w:t xml:space="preserve"> arrangements </w:t>
      </w:r>
      <w:r w:rsidR="00BD0021">
        <w:rPr>
          <w:lang w:eastAsia="ja-JP"/>
        </w:rPr>
        <w:t xml:space="preserve">with </w:t>
      </w:r>
      <w:r w:rsidR="007D5DF8">
        <w:rPr>
          <w:lang w:eastAsia="ja-JP"/>
        </w:rPr>
        <w:t>C</w:t>
      </w:r>
      <w:r w:rsidR="00BD0021">
        <w:rPr>
          <w:lang w:eastAsia="ja-JP"/>
        </w:rPr>
        <w:t>ommonwealth</w:t>
      </w:r>
      <w:r w:rsidR="007D5DF8">
        <w:rPr>
          <w:lang w:eastAsia="ja-JP"/>
        </w:rPr>
        <w:t>,</w:t>
      </w:r>
      <w:r w:rsidR="00BD0021">
        <w:rPr>
          <w:lang w:eastAsia="ja-JP"/>
        </w:rPr>
        <w:t xml:space="preserve"> </w:t>
      </w:r>
      <w:r w:rsidR="007D5DF8">
        <w:rPr>
          <w:lang w:eastAsia="ja-JP"/>
        </w:rPr>
        <w:t>S</w:t>
      </w:r>
      <w:r w:rsidR="00BD0021">
        <w:rPr>
          <w:lang w:eastAsia="ja-JP"/>
        </w:rPr>
        <w:t xml:space="preserve">tate and </w:t>
      </w:r>
      <w:r w:rsidR="007D5DF8">
        <w:rPr>
          <w:lang w:eastAsia="ja-JP"/>
        </w:rPr>
        <w:t>T</w:t>
      </w:r>
      <w:r w:rsidR="00BD0021">
        <w:rPr>
          <w:lang w:eastAsia="ja-JP"/>
        </w:rPr>
        <w:t xml:space="preserve">erritory co-regulators that will enable </w:t>
      </w:r>
      <w:r w:rsidR="00711925">
        <w:rPr>
          <w:lang w:eastAsia="ja-JP"/>
        </w:rPr>
        <w:t>joint inspection and check-testing programs</w:t>
      </w:r>
      <w:r w:rsidR="00BD0021">
        <w:rPr>
          <w:lang w:eastAsia="ja-JP"/>
        </w:rPr>
        <w:t xml:space="preserve">, information sharing and </w:t>
      </w:r>
      <w:r w:rsidR="00711925">
        <w:rPr>
          <w:lang w:eastAsia="ja-JP"/>
        </w:rPr>
        <w:t>collaboration on communication initiatives.</w:t>
      </w:r>
    </w:p>
    <w:p w14:paraId="1CECCFED" w14:textId="480A25CA" w:rsidR="00FF2BCC" w:rsidRDefault="00FF2BCC" w:rsidP="00A80FE9">
      <w:pPr>
        <w:pStyle w:val="Heading3"/>
        <w:ind w:left="284"/>
        <w:rPr>
          <w:lang w:eastAsia="ja-JP"/>
        </w:rPr>
      </w:pPr>
      <w:r>
        <w:rPr>
          <w:lang w:eastAsia="ja-JP"/>
        </w:rPr>
        <w:t>Progress improvements to national and international standards and codes</w:t>
      </w:r>
    </w:p>
    <w:p w14:paraId="0559B14F" w14:textId="2644241A" w:rsidR="00FF2BCC" w:rsidRDefault="00626622" w:rsidP="00427D1D">
      <w:pPr>
        <w:spacing w:before="240"/>
        <w:ind w:left="-74"/>
        <w:rPr>
          <w:lang w:eastAsia="ja-JP"/>
        </w:rPr>
      </w:pPr>
      <w:r>
        <w:rPr>
          <w:lang w:eastAsia="ja-JP"/>
        </w:rPr>
        <w:t>In keeping with Standards Australia requirements, a</w:t>
      </w:r>
      <w:r w:rsidR="00711925">
        <w:rPr>
          <w:lang w:eastAsia="ja-JP"/>
        </w:rPr>
        <w:t xml:space="preserve"> full review of the WELS </w:t>
      </w:r>
      <w:r w:rsidR="00DB2AE3">
        <w:rPr>
          <w:lang w:eastAsia="ja-JP"/>
        </w:rPr>
        <w:t xml:space="preserve">AS/NZS 6400:2016 </w:t>
      </w:r>
      <w:r w:rsidR="000B042B" w:rsidRPr="00F44F42">
        <w:rPr>
          <w:i/>
          <w:iCs/>
          <w:lang w:eastAsia="ja-JP"/>
        </w:rPr>
        <w:t>W</w:t>
      </w:r>
      <w:r w:rsidR="00DB2AE3" w:rsidRPr="00F44F42">
        <w:rPr>
          <w:i/>
          <w:iCs/>
          <w:lang w:eastAsia="ja-JP"/>
        </w:rPr>
        <w:t xml:space="preserve">ater efficiency and labelling </w:t>
      </w:r>
      <w:r w:rsidR="00711925" w:rsidRPr="00F44F42">
        <w:rPr>
          <w:i/>
          <w:iCs/>
          <w:lang w:eastAsia="ja-JP"/>
        </w:rPr>
        <w:t>standard</w:t>
      </w:r>
      <w:r w:rsidR="00711925">
        <w:rPr>
          <w:lang w:eastAsia="ja-JP"/>
        </w:rPr>
        <w:t xml:space="preserve"> will commence in 2022</w:t>
      </w:r>
      <w:r>
        <w:rPr>
          <w:lang w:eastAsia="ja-JP"/>
        </w:rPr>
        <w:t>. This review will be</w:t>
      </w:r>
      <w:r w:rsidR="00DB2AE3">
        <w:rPr>
          <w:lang w:eastAsia="ja-JP"/>
        </w:rPr>
        <w:t xml:space="preserve"> led by the WELS Regulator as the owner of the standard</w:t>
      </w:r>
      <w:r w:rsidR="00711925">
        <w:rPr>
          <w:lang w:eastAsia="ja-JP"/>
        </w:rPr>
        <w:t>. It will involve significant stakeholder engagement to determine beneficial improvements and involve commissioning research of diverse and inclusive consumer needs about product labelling when deciding what products to purchase.</w:t>
      </w:r>
    </w:p>
    <w:p w14:paraId="16A67206" w14:textId="611F0A78" w:rsidR="00DB2AE3" w:rsidRDefault="00626622" w:rsidP="00711925">
      <w:pPr>
        <w:ind w:left="-76"/>
        <w:rPr>
          <w:lang w:eastAsia="ja-JP"/>
        </w:rPr>
      </w:pPr>
      <w:r>
        <w:rPr>
          <w:lang w:eastAsia="ja-JP"/>
        </w:rPr>
        <w:t>The WELS Regulator (as a relevant standards committee member) may also propose i</w:t>
      </w:r>
      <w:r w:rsidR="00DB2AE3">
        <w:rPr>
          <w:lang w:eastAsia="ja-JP"/>
        </w:rPr>
        <w:t xml:space="preserve">mprovements to product specific standards owned by </w:t>
      </w:r>
      <w:r w:rsidR="00F4148F">
        <w:rPr>
          <w:lang w:eastAsia="ja-JP"/>
        </w:rPr>
        <w:t xml:space="preserve">other </w:t>
      </w:r>
      <w:r w:rsidR="00DB2AE3">
        <w:rPr>
          <w:lang w:eastAsia="ja-JP"/>
        </w:rPr>
        <w:t>Commonwealth agencies</w:t>
      </w:r>
      <w:r w:rsidR="00F4148F">
        <w:rPr>
          <w:lang w:eastAsia="ja-JP"/>
        </w:rPr>
        <w:t xml:space="preserve"> responsible for the Energy Rating and </w:t>
      </w:r>
      <w:proofErr w:type="spellStart"/>
      <w:r w:rsidR="00F4148F">
        <w:rPr>
          <w:lang w:eastAsia="ja-JP"/>
        </w:rPr>
        <w:t>WaterMark</w:t>
      </w:r>
      <w:proofErr w:type="spellEnd"/>
      <w:r w:rsidR="00F4148F">
        <w:rPr>
          <w:lang w:eastAsia="ja-JP"/>
        </w:rPr>
        <w:t xml:space="preserve"> schemes</w:t>
      </w:r>
      <w:r w:rsidR="00DB2AE3">
        <w:rPr>
          <w:lang w:eastAsia="ja-JP"/>
        </w:rPr>
        <w:t>, that would promote water efficiency and improve technical requirements</w:t>
      </w:r>
      <w:r w:rsidR="001E1964">
        <w:rPr>
          <w:lang w:eastAsia="ja-JP"/>
        </w:rPr>
        <w:t>.</w:t>
      </w:r>
    </w:p>
    <w:p w14:paraId="3E523F8A" w14:textId="56236EC4" w:rsidR="009400C6" w:rsidRDefault="00DB2AE3" w:rsidP="00711925">
      <w:pPr>
        <w:ind w:left="-76"/>
        <w:rPr>
          <w:lang w:eastAsia="ja-JP"/>
        </w:rPr>
      </w:pPr>
      <w:r>
        <w:rPr>
          <w:lang w:eastAsia="ja-JP"/>
        </w:rPr>
        <w:t>The WELS Regulator</w:t>
      </w:r>
      <w:r w:rsidR="001E1964">
        <w:rPr>
          <w:lang w:eastAsia="ja-JP"/>
        </w:rPr>
        <w:t xml:space="preserve"> has </w:t>
      </w:r>
      <w:r>
        <w:rPr>
          <w:lang w:eastAsia="ja-JP"/>
        </w:rPr>
        <w:t>oversee</w:t>
      </w:r>
      <w:r w:rsidR="001E1964">
        <w:rPr>
          <w:lang w:eastAsia="ja-JP"/>
        </w:rPr>
        <w:t>n</w:t>
      </w:r>
      <w:r>
        <w:rPr>
          <w:lang w:eastAsia="ja-JP"/>
        </w:rPr>
        <w:t xml:space="preserve"> the finalisation of the ISO standard for Water Efficiency Labelling Programs</w:t>
      </w:r>
      <w:r w:rsidR="001E1964">
        <w:rPr>
          <w:lang w:eastAsia="ja-JP"/>
        </w:rPr>
        <w:t xml:space="preserve"> in 2022</w:t>
      </w:r>
      <w:r>
        <w:rPr>
          <w:lang w:eastAsia="ja-JP"/>
        </w:rPr>
        <w:t xml:space="preserve"> and </w:t>
      </w:r>
      <w:r w:rsidR="001E1964">
        <w:rPr>
          <w:lang w:eastAsia="ja-JP"/>
        </w:rPr>
        <w:t xml:space="preserve">will </w:t>
      </w:r>
      <w:r>
        <w:rPr>
          <w:lang w:eastAsia="ja-JP"/>
        </w:rPr>
        <w:t xml:space="preserve">continue to </w:t>
      </w:r>
      <w:r w:rsidR="00464FDB">
        <w:rPr>
          <w:lang w:eastAsia="ja-JP"/>
        </w:rPr>
        <w:t xml:space="preserve">be </w:t>
      </w:r>
      <w:r>
        <w:rPr>
          <w:lang w:eastAsia="ja-JP"/>
        </w:rPr>
        <w:t>support</w:t>
      </w:r>
      <w:r w:rsidR="00464FDB">
        <w:rPr>
          <w:lang w:eastAsia="ja-JP"/>
        </w:rPr>
        <w:t>ive of</w:t>
      </w:r>
      <w:r>
        <w:rPr>
          <w:lang w:eastAsia="ja-JP"/>
        </w:rPr>
        <w:t xml:space="preserve"> the development of an international standard for water efficiency labelling of products.</w:t>
      </w:r>
    </w:p>
    <w:p w14:paraId="27EE6161" w14:textId="4569CC0F" w:rsidR="00F13843" w:rsidRDefault="00F13843" w:rsidP="00711925">
      <w:pPr>
        <w:ind w:left="-76"/>
        <w:rPr>
          <w:lang w:eastAsia="ja-JP"/>
        </w:rPr>
      </w:pPr>
      <w:r>
        <w:rPr>
          <w:lang w:eastAsia="ja-JP"/>
        </w:rPr>
        <w:t>The WELS Regulator will continue to collaborate with the Australian Building Codes Board to ensure that the National Construction Code remains complementary to the WELS scheme</w:t>
      </w:r>
      <w:r w:rsidR="00D432C5">
        <w:rPr>
          <w:lang w:eastAsia="ja-JP"/>
        </w:rPr>
        <w:t xml:space="preserve"> </w:t>
      </w:r>
      <w:r>
        <w:rPr>
          <w:lang w:eastAsia="ja-JP"/>
        </w:rPr>
        <w:t>and supports the national minimum water efficiency standards of products being installed in housing and buildings.</w:t>
      </w:r>
    </w:p>
    <w:p w14:paraId="33C8DA71" w14:textId="02E817FC" w:rsidR="004D74EE" w:rsidRDefault="00FF2BCC" w:rsidP="00A80FE9">
      <w:pPr>
        <w:pStyle w:val="Heading3"/>
        <w:ind w:left="284"/>
        <w:rPr>
          <w:lang w:eastAsia="ja-JP"/>
        </w:rPr>
      </w:pPr>
      <w:r>
        <w:rPr>
          <w:lang w:eastAsia="ja-JP"/>
        </w:rPr>
        <w:lastRenderedPageBreak/>
        <w:t>Enhance s</w:t>
      </w:r>
      <w:r w:rsidR="004D74EE">
        <w:rPr>
          <w:lang w:eastAsia="ja-JP"/>
        </w:rPr>
        <w:t>takeholder engagement</w:t>
      </w:r>
      <w:r w:rsidR="006E7468">
        <w:rPr>
          <w:lang w:eastAsia="ja-JP"/>
        </w:rPr>
        <w:t xml:space="preserve"> and</w:t>
      </w:r>
      <w:r w:rsidR="004D74EE">
        <w:rPr>
          <w:lang w:eastAsia="ja-JP"/>
        </w:rPr>
        <w:t xml:space="preserve"> communication </w:t>
      </w:r>
    </w:p>
    <w:p w14:paraId="223842E4" w14:textId="3684C385" w:rsidR="00427D1D" w:rsidRDefault="00427D1D" w:rsidP="00427D1D">
      <w:pPr>
        <w:spacing w:before="240"/>
        <w:ind w:left="-74"/>
        <w:rPr>
          <w:lang w:eastAsia="ja-JP"/>
        </w:rPr>
      </w:pPr>
      <w:r>
        <w:rPr>
          <w:lang w:eastAsia="ja-JP"/>
        </w:rPr>
        <w:t>Stakeholder engagement and communication will be embedded in</w:t>
      </w:r>
      <w:r w:rsidR="00D432C5">
        <w:rPr>
          <w:lang w:eastAsia="ja-JP"/>
        </w:rPr>
        <w:t xml:space="preserve"> the</w:t>
      </w:r>
      <w:r>
        <w:rPr>
          <w:lang w:eastAsia="ja-JP"/>
        </w:rPr>
        <w:t xml:space="preserve"> deliver</w:t>
      </w:r>
      <w:r w:rsidR="00D432C5">
        <w:rPr>
          <w:lang w:eastAsia="ja-JP"/>
        </w:rPr>
        <w:t xml:space="preserve">y of </w:t>
      </w:r>
      <w:r>
        <w:rPr>
          <w:lang w:eastAsia="ja-JP"/>
        </w:rPr>
        <w:t>all the priorities.</w:t>
      </w:r>
    </w:p>
    <w:p w14:paraId="2D89C8A7" w14:textId="3C94FCA1" w:rsidR="00DD2C26" w:rsidRDefault="00411EBD" w:rsidP="009C403F">
      <w:pPr>
        <w:ind w:left="-70"/>
        <w:rPr>
          <w:lang w:eastAsia="ja-JP"/>
        </w:rPr>
      </w:pPr>
      <w:r>
        <w:rPr>
          <w:lang w:eastAsia="ja-JP"/>
        </w:rPr>
        <w:t xml:space="preserve">The WELS Regulator will continue to proactively engage with industry, co-regulators, the regulated </w:t>
      </w:r>
      <w:proofErr w:type="gramStart"/>
      <w:r>
        <w:rPr>
          <w:lang w:eastAsia="ja-JP"/>
        </w:rPr>
        <w:t>community</w:t>
      </w:r>
      <w:proofErr w:type="gramEnd"/>
      <w:r>
        <w:rPr>
          <w:lang w:eastAsia="ja-JP"/>
        </w:rPr>
        <w:t xml:space="preserve"> and consumer groups through formal engagement with the WELS Officials Group</w:t>
      </w:r>
      <w:r w:rsidR="00A375C9">
        <w:rPr>
          <w:lang w:eastAsia="ja-JP"/>
        </w:rPr>
        <w:t xml:space="preserve"> (WELSOG)</w:t>
      </w:r>
      <w:r>
        <w:rPr>
          <w:lang w:eastAsia="ja-JP"/>
        </w:rPr>
        <w:t xml:space="preserve"> and WELS stakeholder advisory group WELSAG</w:t>
      </w:r>
      <w:r w:rsidR="008A57D4">
        <w:rPr>
          <w:lang w:eastAsia="ja-JP"/>
        </w:rPr>
        <w:t xml:space="preserve">, </w:t>
      </w:r>
      <w:r w:rsidR="00DD2C26">
        <w:rPr>
          <w:lang w:eastAsia="ja-JP"/>
        </w:rPr>
        <w:t>Standards Australia committees</w:t>
      </w:r>
      <w:r w:rsidR="00420350">
        <w:rPr>
          <w:lang w:eastAsia="ja-JP"/>
        </w:rPr>
        <w:t xml:space="preserve"> and</w:t>
      </w:r>
      <w:r w:rsidR="00DD2C26">
        <w:rPr>
          <w:lang w:eastAsia="ja-JP"/>
        </w:rPr>
        <w:t xml:space="preserve"> </w:t>
      </w:r>
      <w:r w:rsidR="00464FDB">
        <w:rPr>
          <w:lang w:eastAsia="ja-JP"/>
        </w:rPr>
        <w:t xml:space="preserve">the </w:t>
      </w:r>
      <w:r w:rsidR="00DD2C26">
        <w:rPr>
          <w:lang w:eastAsia="ja-JP"/>
        </w:rPr>
        <w:t>JAS-</w:t>
      </w:r>
      <w:r w:rsidR="00493525">
        <w:rPr>
          <w:lang w:eastAsia="ja-JP"/>
        </w:rPr>
        <w:t> A</w:t>
      </w:r>
      <w:r w:rsidR="00DD2C26">
        <w:rPr>
          <w:lang w:eastAsia="ja-JP"/>
        </w:rPr>
        <w:t>NZ Technical Advisory Committee</w:t>
      </w:r>
      <w:r>
        <w:rPr>
          <w:lang w:eastAsia="ja-JP"/>
        </w:rPr>
        <w:t xml:space="preserve">. </w:t>
      </w:r>
    </w:p>
    <w:p w14:paraId="0C30A868" w14:textId="09713152" w:rsidR="004D74EE" w:rsidRDefault="00DD2C26" w:rsidP="009C403F">
      <w:pPr>
        <w:ind w:left="-70"/>
        <w:rPr>
          <w:lang w:eastAsia="ja-JP"/>
        </w:rPr>
      </w:pPr>
      <w:r>
        <w:rPr>
          <w:lang w:eastAsia="ja-JP"/>
        </w:rPr>
        <w:t>We will ensure that all channels of communication are open with the WELS Regulator including with the Registration team and Compliance teams.</w:t>
      </w:r>
    </w:p>
    <w:p w14:paraId="58073F45" w14:textId="62E39E38" w:rsidR="00F4148F" w:rsidRDefault="00F4148F" w:rsidP="009C403F">
      <w:pPr>
        <w:ind w:left="-70"/>
        <w:rPr>
          <w:lang w:eastAsia="ja-JP"/>
        </w:rPr>
      </w:pPr>
      <w:r>
        <w:rPr>
          <w:lang w:eastAsia="ja-JP"/>
        </w:rPr>
        <w:t>Consumer research will be commissioned to understand how consumers use the WELS label (and in combination with the energy rating label for appliances) so that education or standards changes can be made to support Australians to save water.</w:t>
      </w:r>
    </w:p>
    <w:p w14:paraId="11E78409" w14:textId="75AAEAC9" w:rsidR="0040244E" w:rsidRDefault="0040244E" w:rsidP="009C403F">
      <w:pPr>
        <w:ind w:left="-70"/>
        <w:rPr>
          <w:lang w:eastAsia="ja-JP"/>
        </w:rPr>
      </w:pPr>
      <w:r>
        <w:rPr>
          <w:lang w:eastAsia="ja-JP"/>
        </w:rPr>
        <w:t>The WELS Regulator will continue to progress embedding information about WELS into the training packages particularly for plumbers and builders, working in collaborat</w:t>
      </w:r>
      <w:r w:rsidR="00B878A5">
        <w:rPr>
          <w:lang w:eastAsia="ja-JP"/>
        </w:rPr>
        <w:t>ion</w:t>
      </w:r>
      <w:r>
        <w:rPr>
          <w:lang w:eastAsia="ja-JP"/>
        </w:rPr>
        <w:t xml:space="preserve"> with peak industry bodies, the education </w:t>
      </w:r>
      <w:proofErr w:type="gramStart"/>
      <w:r>
        <w:rPr>
          <w:lang w:eastAsia="ja-JP"/>
        </w:rPr>
        <w:t>sector</w:t>
      </w:r>
      <w:proofErr w:type="gramEnd"/>
      <w:r>
        <w:rPr>
          <w:lang w:eastAsia="ja-JP"/>
        </w:rPr>
        <w:t xml:space="preserve"> and co-regulators.</w:t>
      </w:r>
    </w:p>
    <w:p w14:paraId="00CD7BDB" w14:textId="769DB2D9" w:rsidR="004D74EE" w:rsidRPr="004D74EE" w:rsidRDefault="00FF2BCC" w:rsidP="00525722">
      <w:pPr>
        <w:pStyle w:val="Heading3"/>
        <w:ind w:left="284"/>
        <w:rPr>
          <w:lang w:eastAsia="ja-JP"/>
        </w:rPr>
      </w:pPr>
      <w:r>
        <w:rPr>
          <w:lang w:eastAsia="ja-JP"/>
        </w:rPr>
        <w:t>Regularly review f</w:t>
      </w:r>
      <w:r w:rsidR="004D74EE" w:rsidRPr="004D74EE">
        <w:rPr>
          <w:lang w:eastAsia="ja-JP"/>
        </w:rPr>
        <w:t xml:space="preserve">unding arrangements </w:t>
      </w:r>
    </w:p>
    <w:p w14:paraId="0947793B" w14:textId="7B4161C7" w:rsidR="00907976" w:rsidRDefault="000A4C03" w:rsidP="00427D1D">
      <w:pPr>
        <w:spacing w:before="240"/>
        <w:ind w:left="-74"/>
        <w:rPr>
          <w:lang w:eastAsia="ja-JP"/>
        </w:rPr>
      </w:pPr>
      <w:r>
        <w:rPr>
          <w:lang w:eastAsia="ja-JP"/>
        </w:rPr>
        <w:t xml:space="preserve">The WELS </w:t>
      </w:r>
      <w:r w:rsidR="00313B16">
        <w:rPr>
          <w:lang w:eastAsia="ja-JP"/>
        </w:rPr>
        <w:t>Regulator</w:t>
      </w:r>
      <w:r>
        <w:rPr>
          <w:lang w:eastAsia="ja-JP"/>
        </w:rPr>
        <w:t xml:space="preserve"> will </w:t>
      </w:r>
      <w:r w:rsidR="00907976">
        <w:rPr>
          <w:lang w:eastAsia="ja-JP"/>
        </w:rPr>
        <w:t>deliver</w:t>
      </w:r>
      <w:r>
        <w:rPr>
          <w:lang w:eastAsia="ja-JP"/>
        </w:rPr>
        <w:t xml:space="preserve"> </w:t>
      </w:r>
      <w:r w:rsidR="00907976">
        <w:rPr>
          <w:lang w:eastAsia="ja-JP"/>
        </w:rPr>
        <w:t>two</w:t>
      </w:r>
      <w:r>
        <w:rPr>
          <w:lang w:eastAsia="ja-JP"/>
        </w:rPr>
        <w:t xml:space="preserve"> C</w:t>
      </w:r>
      <w:r w:rsidR="00313B16">
        <w:rPr>
          <w:lang w:eastAsia="ja-JP"/>
        </w:rPr>
        <w:t xml:space="preserve">ost Recovery </w:t>
      </w:r>
      <w:r w:rsidR="00420350">
        <w:rPr>
          <w:lang w:eastAsia="ja-JP"/>
        </w:rPr>
        <w:t xml:space="preserve">Implementation </w:t>
      </w:r>
      <w:r w:rsidR="00313B16">
        <w:rPr>
          <w:lang w:eastAsia="ja-JP"/>
        </w:rPr>
        <w:t>Statement</w:t>
      </w:r>
      <w:r w:rsidR="00907976">
        <w:rPr>
          <w:lang w:eastAsia="ja-JP"/>
        </w:rPr>
        <w:t xml:space="preserve">s. The first will be an administrative update of the 2014 CRIS </w:t>
      </w:r>
      <w:r w:rsidR="00313B16">
        <w:rPr>
          <w:lang w:eastAsia="ja-JP"/>
        </w:rPr>
        <w:t>review</w:t>
      </w:r>
      <w:r w:rsidR="00907976">
        <w:rPr>
          <w:lang w:eastAsia="ja-JP"/>
        </w:rPr>
        <w:t xml:space="preserve"> to align with current government policies and templates</w:t>
      </w:r>
      <w:r w:rsidR="00907976" w:rsidRPr="00907976">
        <w:rPr>
          <w:lang w:eastAsia="ja-JP"/>
        </w:rPr>
        <w:t xml:space="preserve"> </w:t>
      </w:r>
      <w:r w:rsidR="00907976">
        <w:rPr>
          <w:lang w:eastAsia="ja-JP"/>
        </w:rPr>
        <w:t>required under the with Australian Government Cost Recovery Guidelines. It will reflect the existing cost model.</w:t>
      </w:r>
    </w:p>
    <w:p w14:paraId="7CB77E2E" w14:textId="38C8359B" w:rsidR="00907976" w:rsidRDefault="00907976" w:rsidP="00427D1D">
      <w:pPr>
        <w:spacing w:before="240"/>
        <w:ind w:left="-74"/>
        <w:rPr>
          <w:lang w:eastAsia="ja-JP"/>
        </w:rPr>
      </w:pPr>
      <w:r>
        <w:rPr>
          <w:lang w:eastAsia="ja-JP"/>
        </w:rPr>
        <w:t xml:space="preserve">The second CRIS will be a full review that </w:t>
      </w:r>
      <w:r w:rsidR="000A4C03">
        <w:rPr>
          <w:lang w:eastAsia="ja-JP"/>
        </w:rPr>
        <w:t>consider</w:t>
      </w:r>
      <w:r>
        <w:rPr>
          <w:lang w:eastAsia="ja-JP"/>
        </w:rPr>
        <w:t xml:space="preserve">s whether the current cost model remains fit for purpose. It will consider </w:t>
      </w:r>
      <w:r w:rsidR="00313B16">
        <w:rPr>
          <w:lang w:eastAsia="ja-JP"/>
        </w:rPr>
        <w:t xml:space="preserve">options </w:t>
      </w:r>
      <w:r>
        <w:rPr>
          <w:lang w:eastAsia="ja-JP"/>
        </w:rPr>
        <w:t>proposed by</w:t>
      </w:r>
      <w:r w:rsidR="000A4C03">
        <w:rPr>
          <w:lang w:eastAsia="ja-JP"/>
        </w:rPr>
        <w:t xml:space="preserve"> industry and government.</w:t>
      </w:r>
      <w:r w:rsidR="00313B16">
        <w:rPr>
          <w:lang w:eastAsia="ja-JP"/>
        </w:rPr>
        <w:t xml:space="preserve"> </w:t>
      </w:r>
    </w:p>
    <w:p w14:paraId="73BD4DCD" w14:textId="3CBDA17D" w:rsidR="00907976" w:rsidRDefault="00907976" w:rsidP="00427D1D">
      <w:pPr>
        <w:spacing w:before="240"/>
        <w:ind w:left="-74"/>
        <w:rPr>
          <w:lang w:eastAsia="ja-JP"/>
        </w:rPr>
      </w:pPr>
      <w:r>
        <w:rPr>
          <w:lang w:eastAsia="ja-JP"/>
        </w:rPr>
        <w:t>Both CRIS will seek stakeholder engagement including public comment.</w:t>
      </w:r>
    </w:p>
    <w:p w14:paraId="673E8A26" w14:textId="091EC6A6" w:rsidR="004D74EE" w:rsidRDefault="00911467" w:rsidP="00427D1D">
      <w:pPr>
        <w:spacing w:before="240"/>
        <w:ind w:left="-74"/>
        <w:rPr>
          <w:lang w:eastAsia="ja-JP"/>
        </w:rPr>
      </w:pPr>
      <w:r>
        <w:rPr>
          <w:lang w:eastAsia="ja-JP"/>
        </w:rPr>
        <w:t>An</w:t>
      </w:r>
      <w:r w:rsidR="00313B16">
        <w:rPr>
          <w:lang w:eastAsia="ja-JP"/>
        </w:rPr>
        <w:t xml:space="preserve"> </w:t>
      </w:r>
      <w:r>
        <w:rPr>
          <w:lang w:eastAsia="ja-JP"/>
        </w:rPr>
        <w:t>u</w:t>
      </w:r>
      <w:r w:rsidR="00313B16">
        <w:rPr>
          <w:lang w:eastAsia="ja-JP"/>
        </w:rPr>
        <w:t xml:space="preserve">pgraded ICT system for registration </w:t>
      </w:r>
      <w:r>
        <w:rPr>
          <w:lang w:eastAsia="ja-JP"/>
        </w:rPr>
        <w:t>of products</w:t>
      </w:r>
      <w:r w:rsidR="00313B16">
        <w:rPr>
          <w:lang w:eastAsia="ja-JP"/>
        </w:rPr>
        <w:t xml:space="preserve"> is expected to better support the financial analytical capability </w:t>
      </w:r>
      <w:r>
        <w:rPr>
          <w:lang w:eastAsia="ja-JP"/>
        </w:rPr>
        <w:t>of</w:t>
      </w:r>
      <w:r w:rsidR="00313B16">
        <w:rPr>
          <w:lang w:eastAsia="ja-JP"/>
        </w:rPr>
        <w:t xml:space="preserve"> the scheme, which will lead to more informed decisions about the funding arrangements.</w:t>
      </w:r>
    </w:p>
    <w:p w14:paraId="49F92F96" w14:textId="22A7FE95" w:rsidR="004D74EE" w:rsidRDefault="00FF2BCC" w:rsidP="00525722">
      <w:pPr>
        <w:pStyle w:val="Heading3"/>
        <w:ind w:left="284"/>
        <w:rPr>
          <w:lang w:eastAsia="ja-JP"/>
        </w:rPr>
      </w:pPr>
      <w:r>
        <w:rPr>
          <w:lang w:eastAsia="ja-JP"/>
        </w:rPr>
        <w:t>Design a p</w:t>
      </w:r>
      <w:r w:rsidR="004D74EE" w:rsidRPr="004D74EE">
        <w:rPr>
          <w:lang w:eastAsia="ja-JP"/>
        </w:rPr>
        <w:t xml:space="preserve">roduct </w:t>
      </w:r>
      <w:r w:rsidR="00907976">
        <w:rPr>
          <w:lang w:eastAsia="ja-JP"/>
        </w:rPr>
        <w:t>assessment</w:t>
      </w:r>
      <w:r w:rsidR="004D74EE" w:rsidRPr="004D74EE">
        <w:rPr>
          <w:lang w:eastAsia="ja-JP"/>
        </w:rPr>
        <w:t xml:space="preserve"> framework</w:t>
      </w:r>
    </w:p>
    <w:p w14:paraId="3CDBE697" w14:textId="14884C43" w:rsidR="00FF2BCC" w:rsidRDefault="00D56147" w:rsidP="00427D1D">
      <w:pPr>
        <w:spacing w:before="240"/>
        <w:ind w:left="-74"/>
        <w:rPr>
          <w:lang w:eastAsia="ja-JP"/>
        </w:rPr>
      </w:pPr>
      <w:r>
        <w:rPr>
          <w:lang w:eastAsia="ja-JP"/>
        </w:rPr>
        <w:t xml:space="preserve">The WELS Regulator will </w:t>
      </w:r>
      <w:r w:rsidR="00A375C9">
        <w:rPr>
          <w:lang w:eastAsia="ja-JP"/>
        </w:rPr>
        <w:t xml:space="preserve">investigate the </w:t>
      </w:r>
      <w:r>
        <w:rPr>
          <w:lang w:eastAsia="ja-JP"/>
        </w:rPr>
        <w:t>establish</w:t>
      </w:r>
      <w:r w:rsidR="00A375C9">
        <w:rPr>
          <w:lang w:eastAsia="ja-JP"/>
        </w:rPr>
        <w:t>ment of</w:t>
      </w:r>
      <w:r>
        <w:rPr>
          <w:lang w:eastAsia="ja-JP"/>
        </w:rPr>
        <w:t xml:space="preserve"> a product </w:t>
      </w:r>
      <w:r w:rsidR="00907976">
        <w:rPr>
          <w:lang w:eastAsia="ja-JP"/>
        </w:rPr>
        <w:t>assessment</w:t>
      </w:r>
      <w:r>
        <w:rPr>
          <w:lang w:eastAsia="ja-JP"/>
        </w:rPr>
        <w:t xml:space="preserve"> framework that can be used to determine which additional water using products could be included in the scheme</w:t>
      </w:r>
      <w:r w:rsidR="00313B16">
        <w:rPr>
          <w:lang w:eastAsia="ja-JP"/>
        </w:rPr>
        <w:t>, including</w:t>
      </w:r>
      <w:r>
        <w:rPr>
          <w:lang w:eastAsia="ja-JP"/>
        </w:rPr>
        <w:t xml:space="preserve"> </w:t>
      </w:r>
      <w:r w:rsidR="00907976">
        <w:rPr>
          <w:lang w:eastAsia="ja-JP"/>
        </w:rPr>
        <w:t xml:space="preserve">the </w:t>
      </w:r>
      <w:r>
        <w:rPr>
          <w:lang w:eastAsia="ja-JP"/>
        </w:rPr>
        <w:t>associated cost-benefit analysis</w:t>
      </w:r>
      <w:r w:rsidR="00313B16">
        <w:rPr>
          <w:lang w:eastAsia="ja-JP"/>
        </w:rPr>
        <w:t xml:space="preserve"> and implementation considerations</w:t>
      </w:r>
      <w:r>
        <w:rPr>
          <w:lang w:eastAsia="ja-JP"/>
        </w:rPr>
        <w:t>.</w:t>
      </w:r>
    </w:p>
    <w:p w14:paraId="74046435" w14:textId="1D08714A" w:rsidR="00FF2BCC" w:rsidRDefault="00FF2BCC" w:rsidP="00525722">
      <w:pPr>
        <w:pStyle w:val="Heading3"/>
        <w:ind w:left="284"/>
        <w:rPr>
          <w:lang w:eastAsia="ja-JP"/>
        </w:rPr>
      </w:pPr>
      <w:r>
        <w:rPr>
          <w:lang w:eastAsia="ja-JP"/>
        </w:rPr>
        <w:t xml:space="preserve">Modernise </w:t>
      </w:r>
      <w:r w:rsidR="00525722">
        <w:rPr>
          <w:lang w:eastAsia="ja-JP"/>
        </w:rPr>
        <w:t xml:space="preserve">governance </w:t>
      </w:r>
      <w:r w:rsidR="00D56147">
        <w:rPr>
          <w:lang w:eastAsia="ja-JP"/>
        </w:rPr>
        <w:t>arrangements</w:t>
      </w:r>
    </w:p>
    <w:p w14:paraId="53403EEF" w14:textId="68A52515" w:rsidR="00FF2BCC" w:rsidRDefault="00D56147" w:rsidP="00427D1D">
      <w:pPr>
        <w:spacing w:before="240"/>
        <w:ind w:left="-74"/>
        <w:rPr>
          <w:lang w:eastAsia="ja-JP"/>
        </w:rPr>
      </w:pPr>
      <w:r>
        <w:rPr>
          <w:lang w:eastAsia="ja-JP"/>
        </w:rPr>
        <w:t xml:space="preserve">The WELS Regulator and </w:t>
      </w:r>
      <w:r w:rsidR="00A375C9">
        <w:rPr>
          <w:lang w:eastAsia="ja-JP"/>
        </w:rPr>
        <w:t>S</w:t>
      </w:r>
      <w:r>
        <w:rPr>
          <w:lang w:eastAsia="ja-JP"/>
        </w:rPr>
        <w:t xml:space="preserve">tate and </w:t>
      </w:r>
      <w:r w:rsidR="00A375C9">
        <w:rPr>
          <w:lang w:eastAsia="ja-JP"/>
        </w:rPr>
        <w:t>T</w:t>
      </w:r>
      <w:r>
        <w:rPr>
          <w:lang w:eastAsia="ja-JP"/>
        </w:rPr>
        <w:t>erritory governments will work together to modernise the intergovernmental agreement and the WELS</w:t>
      </w:r>
      <w:r w:rsidR="00A375C9">
        <w:rPr>
          <w:lang w:eastAsia="ja-JP"/>
        </w:rPr>
        <w:t>OG</w:t>
      </w:r>
      <w:r>
        <w:rPr>
          <w:lang w:eastAsia="ja-JP"/>
        </w:rPr>
        <w:t xml:space="preserve"> arrangements.</w:t>
      </w:r>
    </w:p>
    <w:p w14:paraId="5AE5B7C5" w14:textId="23242C0F" w:rsidR="00D56147" w:rsidRDefault="00D56147" w:rsidP="008C407D">
      <w:pPr>
        <w:ind w:left="-70"/>
        <w:rPr>
          <w:lang w:eastAsia="ja-JP"/>
        </w:rPr>
      </w:pPr>
      <w:r>
        <w:rPr>
          <w:lang w:eastAsia="ja-JP"/>
        </w:rPr>
        <w:lastRenderedPageBreak/>
        <w:t>This will include consideration of the alignment of the suite of legislation that underpins the scheme and possible legislative amendments.</w:t>
      </w:r>
    </w:p>
    <w:p w14:paraId="3248CE4B" w14:textId="1056C7F2" w:rsidR="00D56147" w:rsidRDefault="00D56147" w:rsidP="008C407D">
      <w:pPr>
        <w:ind w:left="-70"/>
        <w:rPr>
          <w:lang w:eastAsia="ja-JP"/>
        </w:rPr>
      </w:pPr>
      <w:r>
        <w:rPr>
          <w:lang w:eastAsia="ja-JP"/>
        </w:rPr>
        <w:t>The WELS Regulator will work with industry members to modernise the WELS</w:t>
      </w:r>
      <w:r w:rsidR="009B01F4">
        <w:rPr>
          <w:lang w:eastAsia="ja-JP"/>
        </w:rPr>
        <w:t>AG</w:t>
      </w:r>
      <w:r>
        <w:rPr>
          <w:lang w:eastAsia="ja-JP"/>
        </w:rPr>
        <w:t xml:space="preserve"> arrangements.</w:t>
      </w:r>
    </w:p>
    <w:p w14:paraId="58A5E283" w14:textId="1D1C0C1C" w:rsidR="00F71CD3" w:rsidRDefault="00F71CD3" w:rsidP="008C407D">
      <w:pPr>
        <w:ind w:left="-70"/>
        <w:rPr>
          <w:lang w:eastAsia="ja-JP"/>
        </w:rPr>
      </w:pPr>
      <w:r>
        <w:rPr>
          <w:lang w:eastAsia="ja-JP"/>
        </w:rPr>
        <w:t xml:space="preserve">The WELS Regulator will seek to strengthen collaboration with the GEMS Regulator and </w:t>
      </w:r>
      <w:r w:rsidR="00401AC5">
        <w:rPr>
          <w:lang w:eastAsia="ja-JP"/>
        </w:rPr>
        <w:t xml:space="preserve">through </w:t>
      </w:r>
      <w:r>
        <w:rPr>
          <w:lang w:eastAsia="ja-JP"/>
        </w:rPr>
        <w:t xml:space="preserve">State and </w:t>
      </w:r>
      <w:r w:rsidR="009B01F4">
        <w:rPr>
          <w:lang w:eastAsia="ja-JP"/>
        </w:rPr>
        <w:t>T</w:t>
      </w:r>
      <w:r>
        <w:rPr>
          <w:lang w:eastAsia="ja-JP"/>
        </w:rPr>
        <w:t xml:space="preserve">erritory government departments responsible for </w:t>
      </w:r>
      <w:r w:rsidR="004A71CB">
        <w:rPr>
          <w:lang w:eastAsia="ja-JP"/>
        </w:rPr>
        <w:t>the enforcement</w:t>
      </w:r>
      <w:r w:rsidR="00464FDB">
        <w:rPr>
          <w:lang w:eastAsia="ja-JP"/>
        </w:rPr>
        <w:t xml:space="preserve"> of</w:t>
      </w:r>
      <w:r w:rsidR="004A71CB">
        <w:rPr>
          <w:lang w:eastAsia="ja-JP"/>
        </w:rPr>
        <w:t xml:space="preserve"> building regulation</w:t>
      </w:r>
      <w:r w:rsidR="009B01F4">
        <w:rPr>
          <w:lang w:eastAsia="ja-JP"/>
        </w:rPr>
        <w:t>s</w:t>
      </w:r>
      <w:r w:rsidR="004A71CB">
        <w:rPr>
          <w:lang w:eastAsia="ja-JP"/>
        </w:rPr>
        <w:t xml:space="preserve"> that include</w:t>
      </w:r>
      <w:r w:rsidR="00464FDB">
        <w:rPr>
          <w:lang w:eastAsia="ja-JP"/>
        </w:rPr>
        <w:t>s</w:t>
      </w:r>
      <w:r w:rsidR="004A71CB">
        <w:rPr>
          <w:lang w:eastAsia="ja-JP"/>
        </w:rPr>
        <w:t xml:space="preserve"> </w:t>
      </w:r>
      <w:r w:rsidR="00401AC5">
        <w:rPr>
          <w:lang w:eastAsia="ja-JP"/>
        </w:rPr>
        <w:t xml:space="preserve">enforcing </w:t>
      </w:r>
      <w:proofErr w:type="spellStart"/>
      <w:r w:rsidR="004A71CB">
        <w:rPr>
          <w:lang w:eastAsia="ja-JP"/>
        </w:rPr>
        <w:t>WaterMark</w:t>
      </w:r>
      <w:proofErr w:type="spellEnd"/>
      <w:r w:rsidR="004A71CB">
        <w:rPr>
          <w:lang w:eastAsia="ja-JP"/>
        </w:rPr>
        <w:t xml:space="preserve"> and the National Construction Code. </w:t>
      </w:r>
    </w:p>
    <w:p w14:paraId="01BE1594" w14:textId="675E0E5B" w:rsidR="00B63D22" w:rsidRDefault="00B63D22" w:rsidP="00B63D22">
      <w:pPr>
        <w:pStyle w:val="Heading2"/>
      </w:pPr>
      <w:r>
        <w:t>Funding arrangements</w:t>
      </w:r>
    </w:p>
    <w:p w14:paraId="3945A767" w14:textId="2938BB1E" w:rsidR="00303A28" w:rsidRDefault="00303A28" w:rsidP="00FF2BCC">
      <w:pPr>
        <w:rPr>
          <w:lang w:eastAsia="ja-JP"/>
        </w:rPr>
      </w:pPr>
      <w:r>
        <w:rPr>
          <w:lang w:eastAsia="ja-JP"/>
        </w:rPr>
        <w:t xml:space="preserve">The cost </w:t>
      </w:r>
      <w:r w:rsidR="009B01F4">
        <w:rPr>
          <w:lang w:eastAsia="ja-JP"/>
        </w:rPr>
        <w:t xml:space="preserve">recovery </w:t>
      </w:r>
      <w:r>
        <w:rPr>
          <w:lang w:eastAsia="ja-JP"/>
        </w:rPr>
        <w:t xml:space="preserve">arrangement will be reviewed under priority 6. Until such time as a change is determined, the funding arrangement for the financial years for 2022/2023 until 2025/2026 are set out </w:t>
      </w:r>
      <w:r w:rsidR="00235EC3">
        <w:rPr>
          <w:lang w:eastAsia="ja-JP"/>
        </w:rPr>
        <w:t>below</w:t>
      </w:r>
      <w:r>
        <w:rPr>
          <w:lang w:eastAsia="ja-JP"/>
        </w:rPr>
        <w:t>.</w:t>
      </w:r>
    </w:p>
    <w:p w14:paraId="7E366A8A" w14:textId="266FB687" w:rsidR="00303A28" w:rsidRDefault="00B63D22" w:rsidP="00FF2BCC">
      <w:pPr>
        <w:rPr>
          <w:lang w:eastAsia="ja-JP"/>
        </w:rPr>
      </w:pPr>
      <w:r>
        <w:rPr>
          <w:lang w:eastAsia="ja-JP"/>
        </w:rPr>
        <w:t>The scheme is cost-recovered 80%</w:t>
      </w:r>
      <w:r w:rsidR="00303A28">
        <w:rPr>
          <w:lang w:eastAsia="ja-JP"/>
        </w:rPr>
        <w:t xml:space="preserve"> from industry,</w:t>
      </w:r>
      <w:r>
        <w:rPr>
          <w:lang w:eastAsia="ja-JP"/>
        </w:rPr>
        <w:t xml:space="preserve"> with Australian </w:t>
      </w:r>
      <w:r w:rsidR="00303A28">
        <w:rPr>
          <w:lang w:eastAsia="ja-JP"/>
        </w:rPr>
        <w:t>and</w:t>
      </w:r>
      <w:r>
        <w:rPr>
          <w:lang w:eastAsia="ja-JP"/>
        </w:rPr>
        <w:t xml:space="preserve"> State and Territory Governments contributing </w:t>
      </w:r>
      <w:r w:rsidR="00303A28">
        <w:rPr>
          <w:lang w:eastAsia="ja-JP"/>
        </w:rPr>
        <w:t xml:space="preserve">the remaining </w:t>
      </w:r>
      <w:r>
        <w:rPr>
          <w:lang w:eastAsia="ja-JP"/>
        </w:rPr>
        <w:t>20% split 50:50 in accordance with the Intergovernmental Agreement.</w:t>
      </w:r>
      <w:r w:rsidR="00303A28">
        <w:rPr>
          <w:lang w:eastAsia="ja-JP"/>
        </w:rPr>
        <w:t xml:space="preserve"> </w:t>
      </w:r>
      <w:r w:rsidR="00BA45B0">
        <w:rPr>
          <w:lang w:eastAsia="ja-JP"/>
        </w:rPr>
        <w:t xml:space="preserve">The </w:t>
      </w:r>
      <w:r w:rsidR="00235EC3">
        <w:rPr>
          <w:lang w:eastAsia="ja-JP"/>
        </w:rPr>
        <w:t xml:space="preserve">government contributions </w:t>
      </w:r>
      <w:r w:rsidR="00BA45B0">
        <w:rPr>
          <w:lang w:eastAsia="ja-JP"/>
        </w:rPr>
        <w:t xml:space="preserve">increase </w:t>
      </w:r>
      <w:r w:rsidR="00235EC3">
        <w:rPr>
          <w:lang w:eastAsia="ja-JP"/>
        </w:rPr>
        <w:t>by</w:t>
      </w:r>
      <w:r w:rsidR="00BA45B0">
        <w:rPr>
          <w:lang w:eastAsia="ja-JP"/>
        </w:rPr>
        <w:t xml:space="preserve"> 4% per annum.</w:t>
      </w:r>
    </w:p>
    <w:p w14:paraId="2282E2E3" w14:textId="13A4A8B7" w:rsidR="00B63D22" w:rsidRDefault="00B63D22" w:rsidP="00FF2BCC">
      <w:pPr>
        <w:rPr>
          <w:lang w:eastAsia="ja-JP"/>
        </w:rPr>
      </w:pPr>
      <w:r>
        <w:rPr>
          <w:lang w:eastAsia="ja-JP"/>
        </w:rPr>
        <w:t xml:space="preserve">The individual State and Territory contributions </w:t>
      </w:r>
      <w:r w:rsidR="005832DA">
        <w:rPr>
          <w:lang w:eastAsia="ja-JP"/>
        </w:rPr>
        <w:t>are</w:t>
      </w:r>
      <w:r>
        <w:rPr>
          <w:lang w:eastAsia="ja-JP"/>
        </w:rPr>
        <w:t xml:space="preserve"> </w:t>
      </w:r>
      <w:r w:rsidR="008D31DF">
        <w:rPr>
          <w:lang w:eastAsia="ja-JP"/>
        </w:rPr>
        <w:t>proportion</w:t>
      </w:r>
      <w:r w:rsidR="00303A28">
        <w:rPr>
          <w:lang w:eastAsia="ja-JP"/>
        </w:rPr>
        <w:t>ate</w:t>
      </w:r>
      <w:r w:rsidR="008D31DF">
        <w:rPr>
          <w:lang w:eastAsia="ja-JP"/>
        </w:rPr>
        <w:t xml:space="preserve"> to</w:t>
      </w:r>
      <w:r>
        <w:rPr>
          <w:lang w:eastAsia="ja-JP"/>
        </w:rPr>
        <w:t xml:space="preserve"> </w:t>
      </w:r>
      <w:r w:rsidR="00303A28">
        <w:rPr>
          <w:lang w:eastAsia="ja-JP"/>
        </w:rPr>
        <w:t xml:space="preserve">their </w:t>
      </w:r>
      <w:r>
        <w:rPr>
          <w:lang w:eastAsia="ja-JP"/>
        </w:rPr>
        <w:t>population</w:t>
      </w:r>
      <w:r w:rsidR="005832DA">
        <w:rPr>
          <w:lang w:eastAsia="ja-JP"/>
        </w:rPr>
        <w:t xml:space="preserve">, as </w:t>
      </w:r>
      <w:r w:rsidR="00D34D63">
        <w:rPr>
          <w:lang w:eastAsia="ja-JP"/>
        </w:rPr>
        <w:t>quantified</w:t>
      </w:r>
      <w:r w:rsidR="005832DA" w:rsidRPr="00D34D63">
        <w:rPr>
          <w:lang w:eastAsia="ja-JP"/>
        </w:rPr>
        <w:t xml:space="preserve"> by </w:t>
      </w:r>
      <w:r w:rsidR="00D34D63">
        <w:rPr>
          <w:lang w:eastAsia="ja-JP"/>
        </w:rPr>
        <w:t xml:space="preserve">the </w:t>
      </w:r>
      <w:r w:rsidR="00D34D63" w:rsidRPr="00D34D63">
        <w:rPr>
          <w:lang w:eastAsia="ja-JP"/>
        </w:rPr>
        <w:t>Australian Bureau of Statistics</w:t>
      </w:r>
      <w:r w:rsidR="008D31DF" w:rsidRPr="00D34D63">
        <w:rPr>
          <w:lang w:eastAsia="ja-JP"/>
        </w:rPr>
        <w:t>.</w:t>
      </w:r>
    </w:p>
    <w:p w14:paraId="68E9F270" w14:textId="31E89440" w:rsidR="00B031B5" w:rsidRDefault="00303A28" w:rsidP="00FF2BCC">
      <w:pPr>
        <w:rPr>
          <w:lang w:eastAsia="ja-JP"/>
        </w:rPr>
      </w:pPr>
      <w:r>
        <w:rPr>
          <w:lang w:eastAsia="ja-JP"/>
        </w:rPr>
        <w:t>Industry contribution is based on product registration fees, which is subject to demand</w:t>
      </w:r>
      <w:r w:rsidR="002046BD">
        <w:rPr>
          <w:lang w:eastAsia="ja-JP"/>
        </w:rPr>
        <w:t xml:space="preserve"> for product registration</w:t>
      </w:r>
      <w:r>
        <w:rPr>
          <w:lang w:eastAsia="ja-JP"/>
        </w:rPr>
        <w:t xml:space="preserve">. </w:t>
      </w:r>
    </w:p>
    <w:tbl>
      <w:tblPr>
        <w:tblStyle w:val="TableGrid"/>
        <w:tblW w:w="7928"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825"/>
        <w:gridCol w:w="1276"/>
        <w:gridCol w:w="1275"/>
        <w:gridCol w:w="1276"/>
        <w:gridCol w:w="1276"/>
      </w:tblGrid>
      <w:tr w:rsidR="00F44F42" w14:paraId="5311CE28" w14:textId="783CF8B3" w:rsidTr="007324CE">
        <w:trPr>
          <w:jc w:val="center"/>
        </w:trPr>
        <w:tc>
          <w:tcPr>
            <w:tcW w:w="2825" w:type="dxa"/>
          </w:tcPr>
          <w:p w14:paraId="2199024F" w14:textId="60C801FF" w:rsidR="00F44F42" w:rsidRPr="00DF0372" w:rsidRDefault="00F44F42" w:rsidP="00466BE7">
            <w:pPr>
              <w:spacing w:after="0" w:line="240" w:lineRule="auto"/>
              <w:ind w:right="-107"/>
              <w:rPr>
                <w:b/>
                <w:bCs/>
                <w:lang w:eastAsia="ja-JP"/>
              </w:rPr>
            </w:pPr>
            <w:r w:rsidRPr="00DF0372">
              <w:rPr>
                <w:b/>
                <w:bCs/>
                <w:color w:val="365F91" w:themeColor="accent1" w:themeShade="BF"/>
                <w:sz w:val="24"/>
                <w:szCs w:val="24"/>
                <w:lang w:eastAsia="ja-JP"/>
              </w:rPr>
              <w:t>Contributions</w:t>
            </w:r>
          </w:p>
        </w:tc>
        <w:tc>
          <w:tcPr>
            <w:tcW w:w="1276" w:type="dxa"/>
          </w:tcPr>
          <w:p w14:paraId="6E4CB60D" w14:textId="6B2EA52C" w:rsidR="00F44F42" w:rsidRPr="00DF0372" w:rsidRDefault="00F44F42" w:rsidP="00466BE7">
            <w:pPr>
              <w:spacing w:after="120" w:line="240" w:lineRule="auto"/>
              <w:jc w:val="center"/>
              <w:rPr>
                <w:b/>
                <w:bCs/>
                <w:lang w:eastAsia="ja-JP"/>
              </w:rPr>
            </w:pPr>
            <w:r w:rsidRPr="00DF0372">
              <w:rPr>
                <w:b/>
                <w:bCs/>
                <w:lang w:eastAsia="ja-JP"/>
              </w:rPr>
              <w:t>2022</w:t>
            </w:r>
            <w:r>
              <w:rPr>
                <w:b/>
                <w:bCs/>
                <w:lang w:eastAsia="ja-JP"/>
              </w:rPr>
              <w:t>-</w:t>
            </w:r>
            <w:r w:rsidRPr="00DF0372">
              <w:rPr>
                <w:b/>
                <w:bCs/>
                <w:lang w:eastAsia="ja-JP"/>
              </w:rPr>
              <w:t>2023</w:t>
            </w:r>
            <w:r>
              <w:rPr>
                <w:b/>
                <w:bCs/>
                <w:lang w:eastAsia="ja-JP"/>
              </w:rPr>
              <w:t xml:space="preserve"> ($,000)</w:t>
            </w:r>
          </w:p>
        </w:tc>
        <w:tc>
          <w:tcPr>
            <w:tcW w:w="1275" w:type="dxa"/>
          </w:tcPr>
          <w:p w14:paraId="0FF0F967" w14:textId="77837EFE" w:rsidR="00F44F42" w:rsidRPr="00DF0372" w:rsidRDefault="00F44F42" w:rsidP="00466BE7">
            <w:pPr>
              <w:spacing w:after="120" w:line="240" w:lineRule="auto"/>
              <w:rPr>
                <w:b/>
                <w:bCs/>
                <w:lang w:eastAsia="ja-JP"/>
              </w:rPr>
            </w:pPr>
            <w:r w:rsidRPr="00DF0372">
              <w:rPr>
                <w:b/>
                <w:bCs/>
                <w:lang w:eastAsia="ja-JP"/>
              </w:rPr>
              <w:t>2023</w:t>
            </w:r>
            <w:r>
              <w:rPr>
                <w:b/>
                <w:bCs/>
                <w:lang w:eastAsia="ja-JP"/>
              </w:rPr>
              <w:t>-</w:t>
            </w:r>
            <w:r w:rsidRPr="00DF0372">
              <w:rPr>
                <w:b/>
                <w:bCs/>
                <w:lang w:eastAsia="ja-JP"/>
              </w:rPr>
              <w:t>2024</w:t>
            </w:r>
            <w:r>
              <w:rPr>
                <w:b/>
                <w:bCs/>
                <w:lang w:eastAsia="ja-JP"/>
              </w:rPr>
              <w:t xml:space="preserve">   </w:t>
            </w:r>
            <w:proofErr w:type="gramStart"/>
            <w:r>
              <w:rPr>
                <w:b/>
                <w:bCs/>
                <w:lang w:eastAsia="ja-JP"/>
              </w:rPr>
              <w:t xml:space="preserve">   (</w:t>
            </w:r>
            <w:proofErr w:type="gramEnd"/>
            <w:r>
              <w:rPr>
                <w:b/>
                <w:bCs/>
                <w:lang w:eastAsia="ja-JP"/>
              </w:rPr>
              <w:t>$ ,000)</w:t>
            </w:r>
          </w:p>
        </w:tc>
        <w:tc>
          <w:tcPr>
            <w:tcW w:w="1276" w:type="dxa"/>
          </w:tcPr>
          <w:p w14:paraId="2A9C8E74" w14:textId="0AABD9C7" w:rsidR="00F44F42" w:rsidRPr="00DF0372" w:rsidRDefault="00F44F42" w:rsidP="00466BE7">
            <w:pPr>
              <w:spacing w:after="120" w:line="240" w:lineRule="auto"/>
              <w:jc w:val="center"/>
              <w:rPr>
                <w:b/>
                <w:bCs/>
                <w:lang w:eastAsia="ja-JP"/>
              </w:rPr>
            </w:pPr>
            <w:r w:rsidRPr="00DF0372">
              <w:rPr>
                <w:b/>
                <w:bCs/>
                <w:lang w:eastAsia="ja-JP"/>
              </w:rPr>
              <w:t>2024</w:t>
            </w:r>
            <w:r>
              <w:rPr>
                <w:b/>
                <w:bCs/>
                <w:lang w:eastAsia="ja-JP"/>
              </w:rPr>
              <w:t>-</w:t>
            </w:r>
            <w:r w:rsidRPr="00DF0372">
              <w:rPr>
                <w:b/>
                <w:bCs/>
                <w:lang w:eastAsia="ja-JP"/>
              </w:rPr>
              <w:t>2025</w:t>
            </w:r>
            <w:r>
              <w:rPr>
                <w:b/>
                <w:bCs/>
                <w:lang w:eastAsia="ja-JP"/>
              </w:rPr>
              <w:t xml:space="preserve"> ($ ,000)</w:t>
            </w:r>
          </w:p>
        </w:tc>
        <w:tc>
          <w:tcPr>
            <w:tcW w:w="1276" w:type="dxa"/>
          </w:tcPr>
          <w:p w14:paraId="561DDF9D" w14:textId="7DCE5260" w:rsidR="00F44F42" w:rsidRPr="00DF0372" w:rsidRDefault="00F44F42" w:rsidP="00466BE7">
            <w:pPr>
              <w:spacing w:after="120" w:line="240" w:lineRule="auto"/>
              <w:jc w:val="center"/>
              <w:rPr>
                <w:b/>
                <w:bCs/>
                <w:lang w:eastAsia="ja-JP"/>
              </w:rPr>
            </w:pPr>
            <w:r w:rsidRPr="00DF0372">
              <w:rPr>
                <w:b/>
                <w:bCs/>
                <w:lang w:eastAsia="ja-JP"/>
              </w:rPr>
              <w:t>2025</w:t>
            </w:r>
            <w:r>
              <w:rPr>
                <w:b/>
                <w:bCs/>
                <w:lang w:eastAsia="ja-JP"/>
              </w:rPr>
              <w:t>-</w:t>
            </w:r>
            <w:r w:rsidRPr="00DF0372">
              <w:rPr>
                <w:b/>
                <w:bCs/>
                <w:lang w:eastAsia="ja-JP"/>
              </w:rPr>
              <w:t>2026</w:t>
            </w:r>
            <w:proofErr w:type="gramStart"/>
            <w:r>
              <w:rPr>
                <w:b/>
                <w:bCs/>
                <w:lang w:eastAsia="ja-JP"/>
              </w:rPr>
              <w:t xml:space="preserve">   (</w:t>
            </w:r>
            <w:proofErr w:type="gramEnd"/>
            <w:r>
              <w:rPr>
                <w:b/>
                <w:bCs/>
                <w:lang w:eastAsia="ja-JP"/>
              </w:rPr>
              <w:t>$ ,000)</w:t>
            </w:r>
          </w:p>
        </w:tc>
      </w:tr>
      <w:tr w:rsidR="00F44F42" w14:paraId="6009D249" w14:textId="53187C26" w:rsidTr="007324CE">
        <w:trPr>
          <w:jc w:val="center"/>
        </w:trPr>
        <w:tc>
          <w:tcPr>
            <w:tcW w:w="2825" w:type="dxa"/>
          </w:tcPr>
          <w:p w14:paraId="6D1EC273" w14:textId="32DABF56" w:rsidR="00F44F42" w:rsidRPr="00DF0372" w:rsidRDefault="00F44F42" w:rsidP="00466BE7">
            <w:pPr>
              <w:spacing w:after="60" w:line="240" w:lineRule="auto"/>
              <w:ind w:right="-107"/>
              <w:rPr>
                <w:b/>
                <w:bCs/>
                <w:lang w:eastAsia="ja-JP"/>
              </w:rPr>
            </w:pPr>
            <w:r w:rsidRPr="00DF0372">
              <w:rPr>
                <w:b/>
                <w:bCs/>
                <w:lang w:eastAsia="ja-JP"/>
              </w:rPr>
              <w:t>Industry</w:t>
            </w:r>
          </w:p>
        </w:tc>
        <w:tc>
          <w:tcPr>
            <w:tcW w:w="1276" w:type="dxa"/>
          </w:tcPr>
          <w:p w14:paraId="0F3F7351" w14:textId="3F1F8FC7" w:rsidR="00F44F42" w:rsidRDefault="00F44F42" w:rsidP="00466BE7">
            <w:pPr>
              <w:spacing w:after="60" w:line="240" w:lineRule="auto"/>
              <w:jc w:val="center"/>
              <w:rPr>
                <w:lang w:eastAsia="ja-JP"/>
              </w:rPr>
            </w:pPr>
            <w:r w:rsidRPr="008A1C84">
              <w:t>1763</w:t>
            </w:r>
          </w:p>
        </w:tc>
        <w:tc>
          <w:tcPr>
            <w:tcW w:w="1275" w:type="dxa"/>
          </w:tcPr>
          <w:p w14:paraId="1037918B" w14:textId="38DB995D" w:rsidR="00F44F42" w:rsidRDefault="00F44F42" w:rsidP="00466BE7">
            <w:pPr>
              <w:spacing w:after="60" w:line="240" w:lineRule="auto"/>
              <w:jc w:val="center"/>
              <w:rPr>
                <w:lang w:eastAsia="ja-JP"/>
              </w:rPr>
            </w:pPr>
            <w:r w:rsidRPr="008A1C84">
              <w:t>1834</w:t>
            </w:r>
          </w:p>
        </w:tc>
        <w:tc>
          <w:tcPr>
            <w:tcW w:w="1276" w:type="dxa"/>
          </w:tcPr>
          <w:p w14:paraId="3ED72DEE" w14:textId="5B9756FB" w:rsidR="00F44F42" w:rsidRDefault="00F44F42" w:rsidP="00466BE7">
            <w:pPr>
              <w:spacing w:after="60" w:line="240" w:lineRule="auto"/>
              <w:jc w:val="center"/>
              <w:rPr>
                <w:lang w:eastAsia="ja-JP"/>
              </w:rPr>
            </w:pPr>
            <w:r w:rsidRPr="008A1C84">
              <w:t>1907</w:t>
            </w:r>
          </w:p>
        </w:tc>
        <w:tc>
          <w:tcPr>
            <w:tcW w:w="1276" w:type="dxa"/>
          </w:tcPr>
          <w:p w14:paraId="6D5FB025" w14:textId="1FDBE7BB" w:rsidR="00F44F42" w:rsidRPr="008A1C84" w:rsidRDefault="00F44F42" w:rsidP="00466BE7">
            <w:pPr>
              <w:spacing w:after="60" w:line="240" w:lineRule="auto"/>
              <w:jc w:val="center"/>
            </w:pPr>
            <w:r>
              <w:t>1982</w:t>
            </w:r>
          </w:p>
        </w:tc>
      </w:tr>
      <w:tr w:rsidR="00F44F42" w14:paraId="3F477E77" w14:textId="0AF55C54" w:rsidTr="007324CE">
        <w:trPr>
          <w:jc w:val="center"/>
        </w:trPr>
        <w:tc>
          <w:tcPr>
            <w:tcW w:w="2825" w:type="dxa"/>
          </w:tcPr>
          <w:p w14:paraId="73D517A7" w14:textId="6863B493" w:rsidR="00F44F42" w:rsidRPr="00DF0372" w:rsidRDefault="00F44F42" w:rsidP="00466BE7">
            <w:pPr>
              <w:spacing w:after="60" w:line="240" w:lineRule="auto"/>
              <w:ind w:right="-107"/>
              <w:rPr>
                <w:b/>
                <w:bCs/>
                <w:lang w:eastAsia="ja-JP"/>
              </w:rPr>
            </w:pPr>
            <w:r w:rsidRPr="00DF0372">
              <w:rPr>
                <w:b/>
                <w:bCs/>
                <w:lang w:eastAsia="ja-JP"/>
              </w:rPr>
              <w:t>Australian Government</w:t>
            </w:r>
          </w:p>
        </w:tc>
        <w:tc>
          <w:tcPr>
            <w:tcW w:w="1276" w:type="dxa"/>
          </w:tcPr>
          <w:p w14:paraId="08E7A873" w14:textId="49DBC7A7" w:rsidR="00F44F42" w:rsidRDefault="00F44F42" w:rsidP="00466BE7">
            <w:pPr>
              <w:spacing w:after="60" w:line="240" w:lineRule="auto"/>
              <w:jc w:val="center"/>
              <w:rPr>
                <w:lang w:eastAsia="ja-JP"/>
              </w:rPr>
            </w:pPr>
            <w:r w:rsidRPr="008A1C84">
              <w:t>221</w:t>
            </w:r>
          </w:p>
        </w:tc>
        <w:tc>
          <w:tcPr>
            <w:tcW w:w="1275" w:type="dxa"/>
          </w:tcPr>
          <w:p w14:paraId="3A360A10" w14:textId="0F87200C" w:rsidR="00F44F42" w:rsidRDefault="00F44F42" w:rsidP="00466BE7">
            <w:pPr>
              <w:spacing w:after="60" w:line="240" w:lineRule="auto"/>
              <w:jc w:val="center"/>
              <w:rPr>
                <w:lang w:eastAsia="ja-JP"/>
              </w:rPr>
            </w:pPr>
            <w:r w:rsidRPr="008A1C84">
              <w:t>229</w:t>
            </w:r>
          </w:p>
        </w:tc>
        <w:tc>
          <w:tcPr>
            <w:tcW w:w="1276" w:type="dxa"/>
          </w:tcPr>
          <w:p w14:paraId="462CC9D3" w14:textId="4DE51FAF" w:rsidR="00F44F42" w:rsidRDefault="00F44F42" w:rsidP="00466BE7">
            <w:pPr>
              <w:spacing w:after="60" w:line="240" w:lineRule="auto"/>
              <w:jc w:val="center"/>
              <w:rPr>
                <w:lang w:eastAsia="ja-JP"/>
              </w:rPr>
            </w:pPr>
            <w:r w:rsidRPr="008A1C84">
              <w:t>239</w:t>
            </w:r>
          </w:p>
        </w:tc>
        <w:tc>
          <w:tcPr>
            <w:tcW w:w="1276" w:type="dxa"/>
          </w:tcPr>
          <w:p w14:paraId="01E3B0C0" w14:textId="54E046B6" w:rsidR="00F44F42" w:rsidRPr="008A1C84" w:rsidRDefault="00F44F42" w:rsidP="00466BE7">
            <w:pPr>
              <w:spacing w:after="60" w:line="240" w:lineRule="auto"/>
              <w:jc w:val="center"/>
            </w:pPr>
            <w:r>
              <w:t>247</w:t>
            </w:r>
          </w:p>
        </w:tc>
      </w:tr>
      <w:tr w:rsidR="00F44F42" w14:paraId="3891B552" w14:textId="17006C00" w:rsidTr="007324CE">
        <w:trPr>
          <w:jc w:val="center"/>
        </w:trPr>
        <w:tc>
          <w:tcPr>
            <w:tcW w:w="2825" w:type="dxa"/>
          </w:tcPr>
          <w:p w14:paraId="34CB7AC4" w14:textId="61A27877" w:rsidR="00F44F42" w:rsidRPr="00DF0372" w:rsidRDefault="00F44F42" w:rsidP="00466BE7">
            <w:pPr>
              <w:spacing w:after="60" w:line="240" w:lineRule="auto"/>
              <w:ind w:right="-107"/>
              <w:rPr>
                <w:b/>
                <w:bCs/>
                <w:lang w:eastAsia="ja-JP"/>
              </w:rPr>
            </w:pPr>
            <w:r w:rsidRPr="00DF0372">
              <w:rPr>
                <w:b/>
                <w:bCs/>
                <w:lang w:eastAsia="ja-JP"/>
              </w:rPr>
              <w:t>State</w:t>
            </w:r>
            <w:r>
              <w:rPr>
                <w:b/>
                <w:bCs/>
                <w:lang w:eastAsia="ja-JP"/>
              </w:rPr>
              <w:t>/</w:t>
            </w:r>
            <w:r w:rsidRPr="00DF0372">
              <w:rPr>
                <w:b/>
                <w:bCs/>
                <w:lang w:eastAsia="ja-JP"/>
              </w:rPr>
              <w:t>territory</w:t>
            </w:r>
            <w:r>
              <w:rPr>
                <w:b/>
                <w:bCs/>
                <w:lang w:eastAsia="ja-JP"/>
              </w:rPr>
              <w:t xml:space="preserve"> </w:t>
            </w:r>
            <w:r w:rsidRPr="00DF0372">
              <w:rPr>
                <w:b/>
                <w:bCs/>
                <w:lang w:eastAsia="ja-JP"/>
              </w:rPr>
              <w:t>governments</w:t>
            </w:r>
          </w:p>
        </w:tc>
        <w:tc>
          <w:tcPr>
            <w:tcW w:w="1276" w:type="dxa"/>
          </w:tcPr>
          <w:p w14:paraId="6E5731B2" w14:textId="3958B61E" w:rsidR="00F44F42" w:rsidRDefault="00F44F42" w:rsidP="00466BE7">
            <w:pPr>
              <w:spacing w:after="60" w:line="240" w:lineRule="auto"/>
              <w:jc w:val="center"/>
              <w:rPr>
                <w:lang w:eastAsia="ja-JP"/>
              </w:rPr>
            </w:pPr>
            <w:r w:rsidRPr="008A1C84">
              <w:t>221</w:t>
            </w:r>
          </w:p>
        </w:tc>
        <w:tc>
          <w:tcPr>
            <w:tcW w:w="1275" w:type="dxa"/>
          </w:tcPr>
          <w:p w14:paraId="221A6470" w14:textId="1B4F6A60" w:rsidR="00F44F42" w:rsidRDefault="00F44F42" w:rsidP="00466BE7">
            <w:pPr>
              <w:spacing w:after="60" w:line="240" w:lineRule="auto"/>
              <w:jc w:val="center"/>
              <w:rPr>
                <w:lang w:eastAsia="ja-JP"/>
              </w:rPr>
            </w:pPr>
            <w:r w:rsidRPr="008A1C84">
              <w:t>229</w:t>
            </w:r>
          </w:p>
        </w:tc>
        <w:tc>
          <w:tcPr>
            <w:tcW w:w="1276" w:type="dxa"/>
          </w:tcPr>
          <w:p w14:paraId="698BF061" w14:textId="50B0B7AC" w:rsidR="00F44F42" w:rsidRDefault="00F44F42" w:rsidP="00466BE7">
            <w:pPr>
              <w:spacing w:after="60" w:line="240" w:lineRule="auto"/>
              <w:jc w:val="center"/>
              <w:rPr>
                <w:lang w:eastAsia="ja-JP"/>
              </w:rPr>
            </w:pPr>
            <w:r w:rsidRPr="008A1C84">
              <w:t>239</w:t>
            </w:r>
          </w:p>
        </w:tc>
        <w:tc>
          <w:tcPr>
            <w:tcW w:w="1276" w:type="dxa"/>
          </w:tcPr>
          <w:p w14:paraId="063C02F7" w14:textId="11957CDD" w:rsidR="00F44F42" w:rsidRPr="008A1C84" w:rsidRDefault="00F44F42" w:rsidP="00466BE7">
            <w:pPr>
              <w:spacing w:after="60" w:line="240" w:lineRule="auto"/>
              <w:jc w:val="center"/>
            </w:pPr>
            <w:r>
              <w:t>247</w:t>
            </w:r>
          </w:p>
        </w:tc>
      </w:tr>
      <w:tr w:rsidR="00F44F42" w14:paraId="0B7D0D42" w14:textId="474A625F" w:rsidTr="007324CE">
        <w:trPr>
          <w:jc w:val="center"/>
        </w:trPr>
        <w:tc>
          <w:tcPr>
            <w:tcW w:w="2825" w:type="dxa"/>
          </w:tcPr>
          <w:p w14:paraId="7AB79B50" w14:textId="033EC6B8" w:rsidR="00F44F42" w:rsidRPr="00DF0372" w:rsidRDefault="00F44F42" w:rsidP="00466BE7">
            <w:pPr>
              <w:spacing w:after="60" w:line="240" w:lineRule="auto"/>
              <w:ind w:right="-107"/>
              <w:rPr>
                <w:b/>
                <w:bCs/>
                <w:lang w:eastAsia="ja-JP"/>
              </w:rPr>
            </w:pPr>
            <w:r w:rsidRPr="00FB46F9">
              <w:rPr>
                <w:b/>
                <w:bCs/>
                <w:color w:val="365F91" w:themeColor="accent1" w:themeShade="BF"/>
                <w:lang w:eastAsia="ja-JP"/>
              </w:rPr>
              <w:t>TOTAL</w:t>
            </w:r>
          </w:p>
        </w:tc>
        <w:tc>
          <w:tcPr>
            <w:tcW w:w="1276" w:type="dxa"/>
          </w:tcPr>
          <w:p w14:paraId="0665C052" w14:textId="0D1583D7" w:rsidR="00F44F42" w:rsidRPr="006824A2" w:rsidRDefault="00F44F42" w:rsidP="00466BE7">
            <w:pPr>
              <w:spacing w:after="60" w:line="240" w:lineRule="auto"/>
              <w:jc w:val="center"/>
              <w:rPr>
                <w:b/>
                <w:bCs/>
                <w:lang w:eastAsia="ja-JP"/>
              </w:rPr>
            </w:pPr>
            <w:r w:rsidRPr="006824A2">
              <w:rPr>
                <w:b/>
                <w:bCs/>
              </w:rPr>
              <w:t>2204</w:t>
            </w:r>
          </w:p>
        </w:tc>
        <w:tc>
          <w:tcPr>
            <w:tcW w:w="1275" w:type="dxa"/>
          </w:tcPr>
          <w:p w14:paraId="088FCAFB" w14:textId="0D6F7A1E" w:rsidR="00F44F42" w:rsidRPr="006824A2" w:rsidRDefault="00F44F42" w:rsidP="00466BE7">
            <w:pPr>
              <w:spacing w:after="60" w:line="240" w:lineRule="auto"/>
              <w:jc w:val="center"/>
              <w:rPr>
                <w:b/>
                <w:bCs/>
                <w:lang w:eastAsia="ja-JP"/>
              </w:rPr>
            </w:pPr>
            <w:r w:rsidRPr="006824A2">
              <w:rPr>
                <w:b/>
                <w:bCs/>
              </w:rPr>
              <w:t>2292</w:t>
            </w:r>
          </w:p>
        </w:tc>
        <w:tc>
          <w:tcPr>
            <w:tcW w:w="1276" w:type="dxa"/>
          </w:tcPr>
          <w:p w14:paraId="0F6AB3B6" w14:textId="08AC8E6B" w:rsidR="00F44F42" w:rsidRPr="006824A2" w:rsidRDefault="00F44F42" w:rsidP="00466BE7">
            <w:pPr>
              <w:spacing w:after="60" w:line="240" w:lineRule="auto"/>
              <w:jc w:val="center"/>
              <w:rPr>
                <w:b/>
                <w:bCs/>
                <w:lang w:eastAsia="ja-JP"/>
              </w:rPr>
            </w:pPr>
            <w:r w:rsidRPr="006824A2">
              <w:rPr>
                <w:b/>
                <w:bCs/>
              </w:rPr>
              <w:t>2384</w:t>
            </w:r>
          </w:p>
        </w:tc>
        <w:tc>
          <w:tcPr>
            <w:tcW w:w="1276" w:type="dxa"/>
          </w:tcPr>
          <w:p w14:paraId="0BACA989" w14:textId="57BD2985" w:rsidR="00F44F42" w:rsidRPr="006824A2" w:rsidRDefault="00F44F42" w:rsidP="00466BE7">
            <w:pPr>
              <w:spacing w:after="60" w:line="240" w:lineRule="auto"/>
              <w:jc w:val="center"/>
              <w:rPr>
                <w:b/>
                <w:bCs/>
              </w:rPr>
            </w:pPr>
            <w:r>
              <w:rPr>
                <w:b/>
                <w:bCs/>
              </w:rPr>
              <w:t>2476</w:t>
            </w:r>
          </w:p>
        </w:tc>
      </w:tr>
      <w:tr w:rsidR="00F44F42" w14:paraId="56B5BD73" w14:textId="79F0AA22" w:rsidTr="007324CE">
        <w:trPr>
          <w:jc w:val="center"/>
        </w:trPr>
        <w:tc>
          <w:tcPr>
            <w:tcW w:w="2825" w:type="dxa"/>
          </w:tcPr>
          <w:p w14:paraId="5D7A0B28" w14:textId="1A503C3C" w:rsidR="00F44F42" w:rsidRPr="00FB46F9" w:rsidRDefault="00F44F42" w:rsidP="00466BE7">
            <w:pPr>
              <w:spacing w:after="60" w:line="240" w:lineRule="auto"/>
              <w:ind w:right="-107"/>
              <w:rPr>
                <w:b/>
                <w:bCs/>
                <w:color w:val="365F91" w:themeColor="accent1" w:themeShade="BF"/>
                <w:lang w:eastAsia="ja-JP"/>
              </w:rPr>
            </w:pPr>
            <w:r>
              <w:rPr>
                <w:b/>
                <w:bCs/>
                <w:color w:val="365F91" w:themeColor="accent1" w:themeShade="BF"/>
                <w:lang w:eastAsia="ja-JP"/>
              </w:rPr>
              <w:t>National economic return</w:t>
            </w:r>
          </w:p>
        </w:tc>
        <w:tc>
          <w:tcPr>
            <w:tcW w:w="1276" w:type="dxa"/>
          </w:tcPr>
          <w:p w14:paraId="5C51413D" w14:textId="6D50289A" w:rsidR="00F44F42" w:rsidRPr="008A1C84" w:rsidRDefault="00F44F42" w:rsidP="00466BE7">
            <w:pPr>
              <w:spacing w:after="60" w:line="240" w:lineRule="auto"/>
              <w:jc w:val="center"/>
            </w:pPr>
            <w:r>
              <w:t>1</w:t>
            </w:r>
            <w:r w:rsidR="00763DE0">
              <w:t>,</w:t>
            </w:r>
            <w:r>
              <w:t>468,540</w:t>
            </w:r>
          </w:p>
        </w:tc>
        <w:tc>
          <w:tcPr>
            <w:tcW w:w="1275" w:type="dxa"/>
          </w:tcPr>
          <w:p w14:paraId="3440B813" w14:textId="08B8A8E6" w:rsidR="00F44F42" w:rsidRPr="008A1C84" w:rsidRDefault="00F44F42" w:rsidP="00466BE7">
            <w:pPr>
              <w:spacing w:after="60" w:line="240" w:lineRule="auto"/>
              <w:jc w:val="center"/>
            </w:pPr>
            <w:r>
              <w:t>1,541,000</w:t>
            </w:r>
          </w:p>
        </w:tc>
        <w:tc>
          <w:tcPr>
            <w:tcW w:w="1276" w:type="dxa"/>
          </w:tcPr>
          <w:p w14:paraId="31E26E7F" w14:textId="2F342685" w:rsidR="00F44F42" w:rsidRPr="008A1C84" w:rsidRDefault="00F44F42" w:rsidP="00466BE7">
            <w:pPr>
              <w:spacing w:after="60" w:line="240" w:lineRule="auto"/>
              <w:jc w:val="center"/>
            </w:pPr>
            <w:r>
              <w:t>1,608,040</w:t>
            </w:r>
          </w:p>
        </w:tc>
        <w:tc>
          <w:tcPr>
            <w:tcW w:w="1276" w:type="dxa"/>
          </w:tcPr>
          <w:p w14:paraId="20BBD17D" w14:textId="7EB6812C" w:rsidR="00F44F42" w:rsidRDefault="00F44F42" w:rsidP="00466BE7">
            <w:pPr>
              <w:spacing w:after="60" w:line="240" w:lineRule="auto"/>
              <w:jc w:val="center"/>
            </w:pPr>
            <w:r>
              <w:t>1,683,220</w:t>
            </w:r>
          </w:p>
        </w:tc>
      </w:tr>
      <w:tr w:rsidR="00F44F42" w14:paraId="4D9F9951" w14:textId="60607B0E" w:rsidTr="007324CE">
        <w:trPr>
          <w:jc w:val="center"/>
        </w:trPr>
        <w:tc>
          <w:tcPr>
            <w:tcW w:w="2825" w:type="dxa"/>
          </w:tcPr>
          <w:p w14:paraId="7D557F92" w14:textId="5E6FC537" w:rsidR="00F44F42" w:rsidRDefault="00F44F42" w:rsidP="005E53C2">
            <w:pPr>
              <w:spacing w:after="60" w:line="240" w:lineRule="auto"/>
              <w:ind w:right="-107"/>
              <w:rPr>
                <w:b/>
                <w:bCs/>
                <w:color w:val="365F91" w:themeColor="accent1" w:themeShade="BF"/>
                <w:lang w:eastAsia="ja-JP"/>
              </w:rPr>
            </w:pPr>
            <w:r>
              <w:rPr>
                <w:b/>
                <w:bCs/>
                <w:color w:val="365F91" w:themeColor="accent1" w:themeShade="BF"/>
                <w:lang w:eastAsia="ja-JP"/>
              </w:rPr>
              <w:t>National water savings (GL)</w:t>
            </w:r>
          </w:p>
        </w:tc>
        <w:tc>
          <w:tcPr>
            <w:tcW w:w="1276" w:type="dxa"/>
          </w:tcPr>
          <w:p w14:paraId="229C5694" w14:textId="2364100E" w:rsidR="00F44F42" w:rsidRPr="008A1C84" w:rsidRDefault="00F44F42" w:rsidP="005E53C2">
            <w:pPr>
              <w:spacing w:after="60" w:line="240" w:lineRule="auto"/>
              <w:jc w:val="center"/>
            </w:pPr>
            <w:r>
              <w:t>157.8</w:t>
            </w:r>
          </w:p>
        </w:tc>
        <w:tc>
          <w:tcPr>
            <w:tcW w:w="1275" w:type="dxa"/>
          </w:tcPr>
          <w:p w14:paraId="62B23605" w14:textId="50C8A1BB" w:rsidR="00F44F42" w:rsidRPr="008A1C84" w:rsidRDefault="00F44F42" w:rsidP="005E53C2">
            <w:pPr>
              <w:spacing w:after="60" w:line="240" w:lineRule="auto"/>
              <w:jc w:val="center"/>
            </w:pPr>
            <w:r>
              <w:t>165.2</w:t>
            </w:r>
          </w:p>
        </w:tc>
        <w:tc>
          <w:tcPr>
            <w:tcW w:w="1276" w:type="dxa"/>
          </w:tcPr>
          <w:p w14:paraId="69CF37E1" w14:textId="3BF16910" w:rsidR="00F44F42" w:rsidRPr="008A1C84" w:rsidRDefault="00F44F42" w:rsidP="005E53C2">
            <w:pPr>
              <w:spacing w:after="60" w:line="240" w:lineRule="auto"/>
              <w:jc w:val="center"/>
            </w:pPr>
            <w:r>
              <w:t>172.2</w:t>
            </w:r>
          </w:p>
        </w:tc>
        <w:tc>
          <w:tcPr>
            <w:tcW w:w="1276" w:type="dxa"/>
          </w:tcPr>
          <w:p w14:paraId="705DAF56" w14:textId="37585465" w:rsidR="00F44F42" w:rsidRDefault="00F44F42" w:rsidP="005E53C2">
            <w:pPr>
              <w:spacing w:after="60" w:line="240" w:lineRule="auto"/>
              <w:jc w:val="center"/>
            </w:pPr>
            <w:r>
              <w:t>178.7</w:t>
            </w:r>
          </w:p>
        </w:tc>
      </w:tr>
    </w:tbl>
    <w:p w14:paraId="2EE683D3" w14:textId="01D6296E" w:rsidR="004D74EE" w:rsidRDefault="004D74EE" w:rsidP="004D74EE">
      <w:pPr>
        <w:rPr>
          <w:lang w:eastAsia="ja-JP"/>
        </w:rPr>
      </w:pPr>
    </w:p>
    <w:sectPr w:rsidR="004D74EE" w:rsidSect="00965B9B">
      <w:pgSz w:w="11906" w:h="16838"/>
      <w:pgMar w:top="1418" w:right="1418" w:bottom="1276"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62B0" w14:textId="77777777" w:rsidR="002B13A7" w:rsidRDefault="002B13A7">
      <w:r>
        <w:separator/>
      </w:r>
    </w:p>
    <w:p w14:paraId="11ACCA6A" w14:textId="77777777" w:rsidR="002B13A7" w:rsidRDefault="002B13A7"/>
    <w:p w14:paraId="2CDDFB22" w14:textId="77777777" w:rsidR="002B13A7" w:rsidRDefault="002B13A7"/>
  </w:endnote>
  <w:endnote w:type="continuationSeparator" w:id="0">
    <w:p w14:paraId="78C2AD23" w14:textId="77777777" w:rsidR="002B13A7" w:rsidRDefault="002B13A7">
      <w:r>
        <w:continuationSeparator/>
      </w:r>
    </w:p>
    <w:p w14:paraId="5F791C09" w14:textId="77777777" w:rsidR="002B13A7" w:rsidRDefault="002B13A7"/>
    <w:p w14:paraId="44357D14" w14:textId="77777777" w:rsidR="002B13A7" w:rsidRDefault="002B13A7"/>
  </w:endnote>
  <w:endnote w:type="continuationNotice" w:id="1">
    <w:p w14:paraId="1ADD5A20" w14:textId="77777777" w:rsidR="002B13A7" w:rsidRDefault="002B13A7">
      <w:pPr>
        <w:pStyle w:val="Footer"/>
      </w:pPr>
    </w:p>
    <w:p w14:paraId="38D74841" w14:textId="77777777" w:rsidR="002B13A7" w:rsidRDefault="002B13A7"/>
    <w:p w14:paraId="35FBBC28" w14:textId="77777777" w:rsidR="002B13A7" w:rsidRDefault="002B1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F341" w14:textId="77777777" w:rsidR="00467ACA" w:rsidRDefault="0046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BBB9" w14:textId="2E6ED040" w:rsidR="00965E2E" w:rsidRDefault="001D0F8A">
    <w:pPr>
      <w:pStyle w:val="Footer"/>
    </w:pPr>
    <w:r>
      <w:t xml:space="preserve">Department of </w:t>
    </w:r>
    <w:r w:rsidR="0006170B">
      <w:t>Climate Change, Energy,</w:t>
    </w:r>
    <w:r w:rsidR="00C01CB0">
      <w:t xml:space="preserve"> the Environment</w:t>
    </w:r>
    <w:r w:rsidR="0006170B">
      <w:t xml:space="preserve"> and Water</w:t>
    </w:r>
  </w:p>
  <w:p w14:paraId="5AEA9381" w14:textId="77777777" w:rsidR="00965E2E" w:rsidRDefault="001D0F8A">
    <w:pPr>
      <w:pStyle w:val="Footer"/>
    </w:pPr>
    <w:r>
      <w:fldChar w:fldCharType="begin"/>
    </w:r>
    <w:r>
      <w:instrText xml:space="preserve"> PAGE   \* MERGEFORMAT </w:instrText>
    </w:r>
    <w:r>
      <w:fldChar w:fldCharType="separate"/>
    </w:r>
    <w:r w:rsidR="00A20ECD">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6DEF" w14:textId="77777777" w:rsidR="00467ACA" w:rsidRDefault="00467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89B1" w14:textId="77777777" w:rsidR="002B13A7" w:rsidRDefault="002B13A7">
      <w:r>
        <w:separator/>
      </w:r>
    </w:p>
    <w:p w14:paraId="6D4B1E05" w14:textId="77777777" w:rsidR="002B13A7" w:rsidRDefault="002B13A7"/>
    <w:p w14:paraId="75CB9408" w14:textId="77777777" w:rsidR="002B13A7" w:rsidRDefault="002B13A7"/>
  </w:footnote>
  <w:footnote w:type="continuationSeparator" w:id="0">
    <w:p w14:paraId="410631FC" w14:textId="77777777" w:rsidR="002B13A7" w:rsidRDefault="002B13A7">
      <w:r>
        <w:continuationSeparator/>
      </w:r>
    </w:p>
    <w:p w14:paraId="25B87ACC" w14:textId="77777777" w:rsidR="002B13A7" w:rsidRDefault="002B13A7"/>
    <w:p w14:paraId="314BAD51" w14:textId="77777777" w:rsidR="002B13A7" w:rsidRDefault="002B13A7"/>
  </w:footnote>
  <w:footnote w:type="continuationNotice" w:id="1">
    <w:p w14:paraId="4BC643F0" w14:textId="77777777" w:rsidR="002B13A7" w:rsidRDefault="002B13A7">
      <w:pPr>
        <w:pStyle w:val="Footer"/>
      </w:pPr>
    </w:p>
    <w:p w14:paraId="10293C56" w14:textId="77777777" w:rsidR="002B13A7" w:rsidRDefault="002B13A7"/>
    <w:p w14:paraId="18FC632C" w14:textId="77777777" w:rsidR="002B13A7" w:rsidRDefault="002B1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C54F" w14:textId="77777777" w:rsidR="00467ACA" w:rsidRDefault="00467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97C5" w14:textId="41DEFDC2" w:rsidR="00965E2E" w:rsidRDefault="001D0F8A">
    <w:pPr>
      <w:pStyle w:val="Header"/>
    </w:pPr>
    <w:r>
      <w:t>WELS Strateg</w:t>
    </w:r>
    <w:r w:rsidR="00B0054A">
      <w:t xml:space="preserve">ic Plan </w:t>
    </w:r>
    <w:r w:rsidR="00C01CB0">
      <w:t>–</w:t>
    </w:r>
    <w:r w:rsidR="00B0054A">
      <w:t xml:space="preserve"> </w:t>
    </w:r>
    <w:r w:rsidR="00C01CB0">
      <w:t>2022 to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E4D1" w14:textId="77777777" w:rsidR="00965E2E" w:rsidRDefault="001D0F8A">
    <w:pPr>
      <w:pStyle w:val="Header"/>
      <w:jc w:val="left"/>
    </w:pPr>
    <w:r>
      <w:rPr>
        <w:noProof/>
        <w:lang w:eastAsia="en-AU"/>
      </w:rPr>
      <w:drawing>
        <wp:anchor distT="0" distB="0" distL="114300" distR="114300" simplePos="0" relativeHeight="251657216" behindDoc="1" locked="0" layoutInCell="1" allowOverlap="1" wp14:anchorId="71C1C2F7" wp14:editId="316169B4">
          <wp:simplePos x="0" y="0"/>
          <wp:positionH relativeFrom="column">
            <wp:posOffset>-907745</wp:posOffset>
          </wp:positionH>
          <wp:positionV relativeFrom="paragraph">
            <wp:posOffset>-381991</wp:posOffset>
          </wp:positionV>
          <wp:extent cx="7581841" cy="10724084"/>
          <wp:effectExtent l="0" t="0" r="635" b="1270"/>
          <wp:wrapNone/>
          <wp:docPr id="2" name="Picture 2" descr="Australian  Government Water Rating website publication. The Water Efficiency Labelling and Standards (WELS) scheme is an Australian Government initiative in partnership with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 cover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4" cy="1072613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028946"/>
    <w:lvl w:ilvl="0">
      <w:start w:val="1"/>
      <w:numFmt w:val="decimal"/>
      <w:lvlText w:val="%1."/>
      <w:lvlJc w:val="left"/>
      <w:pPr>
        <w:tabs>
          <w:tab w:val="num" w:pos="1700"/>
        </w:tabs>
        <w:ind w:left="1700" w:hanging="360"/>
      </w:pPr>
    </w:lvl>
  </w:abstractNum>
  <w:abstractNum w:abstractNumId="1" w15:restartNumberingAfterBreak="0">
    <w:nsid w:val="FFFFFF7D"/>
    <w:multiLevelType w:val="singleLevel"/>
    <w:tmpl w:val="B9B87BD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AE290A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DB8BB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4FEE3A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A3808A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4182A4F0"/>
    <w:numStyleLink w:val="Numberlist"/>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20078"/>
    <w:multiLevelType w:val="multilevel"/>
    <w:tmpl w:val="CD9EAA80"/>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4A15FE"/>
    <w:multiLevelType w:val="multilevel"/>
    <w:tmpl w:val="CD9EAA80"/>
    <w:numStyleLink w:val="Headinglist"/>
  </w:abstractNum>
  <w:abstractNum w:abstractNumId="11" w15:restartNumberingAfterBreak="0">
    <w:nsid w:val="45F508D8"/>
    <w:multiLevelType w:val="hybridMultilevel"/>
    <w:tmpl w:val="96E8D3BA"/>
    <w:lvl w:ilvl="0" w:tplc="36F4A3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B82242"/>
    <w:multiLevelType w:val="hybridMultilevel"/>
    <w:tmpl w:val="D52213BE"/>
    <w:lvl w:ilvl="0" w:tplc="A9104822">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86DAE6FE"/>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709799123">
    <w:abstractNumId w:val="6"/>
  </w:num>
  <w:num w:numId="2" w16cid:durableId="1663197140">
    <w:abstractNumId w:val="5"/>
    <w:lvlOverride w:ilvl="0">
      <w:startOverride w:val="1"/>
    </w:lvlOverride>
  </w:num>
  <w:num w:numId="3" w16cid:durableId="2060393217">
    <w:abstractNumId w:val="12"/>
  </w:num>
  <w:num w:numId="4" w16cid:durableId="1166045969">
    <w:abstractNumId w:val="8"/>
  </w:num>
  <w:num w:numId="5" w16cid:durableId="1720058505">
    <w:abstractNumId w:val="14"/>
  </w:num>
  <w:num w:numId="6" w16cid:durableId="1484008574">
    <w:abstractNumId w:val="15"/>
  </w:num>
  <w:num w:numId="7" w16cid:durableId="1737780512">
    <w:abstractNumId w:val="7"/>
  </w:num>
  <w:num w:numId="8" w16cid:durableId="202791827">
    <w:abstractNumId w:val="9"/>
  </w:num>
  <w:num w:numId="9" w16cid:durableId="1251423467">
    <w:abstractNumId w:val="10"/>
  </w:num>
  <w:num w:numId="10" w16cid:durableId="1849828773">
    <w:abstractNumId w:val="10"/>
  </w:num>
  <w:num w:numId="11" w16cid:durableId="1921475604">
    <w:abstractNumId w:val="10"/>
  </w:num>
  <w:num w:numId="12" w16cid:durableId="871846548">
    <w:abstractNumId w:val="4"/>
  </w:num>
  <w:num w:numId="13" w16cid:durableId="1648361630">
    <w:abstractNumId w:val="14"/>
  </w:num>
  <w:num w:numId="14" w16cid:durableId="1068726823">
    <w:abstractNumId w:val="11"/>
  </w:num>
  <w:num w:numId="15" w16cid:durableId="459107952">
    <w:abstractNumId w:val="3"/>
  </w:num>
  <w:num w:numId="16" w16cid:durableId="1109131304">
    <w:abstractNumId w:val="2"/>
  </w:num>
  <w:num w:numId="17" w16cid:durableId="615018798">
    <w:abstractNumId w:val="1"/>
  </w:num>
  <w:num w:numId="18" w16cid:durableId="97407084">
    <w:abstractNumId w:val="0"/>
  </w:num>
  <w:num w:numId="19" w16cid:durableId="1143766071">
    <w:abstractNumId w:val="13"/>
  </w:num>
  <w:num w:numId="20" w16cid:durableId="2019115530">
    <w:abstractNumId w:val="13"/>
  </w:num>
  <w:num w:numId="21" w16cid:durableId="470708338">
    <w:abstractNumId w:val="13"/>
  </w:num>
  <w:num w:numId="22" w16cid:durableId="936862627">
    <w:abstractNumId w:val="13"/>
  </w:num>
  <w:num w:numId="23" w16cid:durableId="1056318860">
    <w:abstractNumId w:val="13"/>
  </w:num>
  <w:num w:numId="24" w16cid:durableId="1904365891">
    <w:abstractNumId w:val="13"/>
  </w:num>
  <w:num w:numId="25" w16cid:durableId="1587883141">
    <w:abstractNumId w:val="13"/>
  </w:num>
  <w:num w:numId="26" w16cid:durableId="1620382029">
    <w:abstractNumId w:val="13"/>
  </w:num>
  <w:num w:numId="27" w16cid:durableId="178449779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2E"/>
    <w:rsid w:val="000110D5"/>
    <w:rsid w:val="00027144"/>
    <w:rsid w:val="000372A6"/>
    <w:rsid w:val="0006170B"/>
    <w:rsid w:val="00077C4E"/>
    <w:rsid w:val="000A4C03"/>
    <w:rsid w:val="000B042B"/>
    <w:rsid w:val="000E5A4E"/>
    <w:rsid w:val="001114B4"/>
    <w:rsid w:val="0012734E"/>
    <w:rsid w:val="00150EC9"/>
    <w:rsid w:val="001B4274"/>
    <w:rsid w:val="001D0F8A"/>
    <w:rsid w:val="001E1964"/>
    <w:rsid w:val="001F132C"/>
    <w:rsid w:val="001F1467"/>
    <w:rsid w:val="002046BD"/>
    <w:rsid w:val="00235EC3"/>
    <w:rsid w:val="00237D6C"/>
    <w:rsid w:val="00284368"/>
    <w:rsid w:val="00287C5D"/>
    <w:rsid w:val="002A03AC"/>
    <w:rsid w:val="002A2F2F"/>
    <w:rsid w:val="002A791D"/>
    <w:rsid w:val="002B13A7"/>
    <w:rsid w:val="002E5404"/>
    <w:rsid w:val="00303A28"/>
    <w:rsid w:val="00313B16"/>
    <w:rsid w:val="00326593"/>
    <w:rsid w:val="00346A2B"/>
    <w:rsid w:val="00367720"/>
    <w:rsid w:val="003C04D8"/>
    <w:rsid w:val="00401AC5"/>
    <w:rsid w:val="0040244E"/>
    <w:rsid w:val="004071C3"/>
    <w:rsid w:val="00411EBD"/>
    <w:rsid w:val="00420350"/>
    <w:rsid w:val="00427D1D"/>
    <w:rsid w:val="004621FD"/>
    <w:rsid w:val="00464FDB"/>
    <w:rsid w:val="00466BE7"/>
    <w:rsid w:val="00467ACA"/>
    <w:rsid w:val="00490FE5"/>
    <w:rsid w:val="00493525"/>
    <w:rsid w:val="00495C1C"/>
    <w:rsid w:val="004A71CB"/>
    <w:rsid w:val="004D74EE"/>
    <w:rsid w:val="004E4E36"/>
    <w:rsid w:val="005076D4"/>
    <w:rsid w:val="00525722"/>
    <w:rsid w:val="005438B4"/>
    <w:rsid w:val="00552402"/>
    <w:rsid w:val="005832DA"/>
    <w:rsid w:val="005B4630"/>
    <w:rsid w:val="005E254D"/>
    <w:rsid w:val="005E53C2"/>
    <w:rsid w:val="00601AF4"/>
    <w:rsid w:val="00617893"/>
    <w:rsid w:val="00626622"/>
    <w:rsid w:val="00627DA5"/>
    <w:rsid w:val="00636D65"/>
    <w:rsid w:val="006824A2"/>
    <w:rsid w:val="006B11E2"/>
    <w:rsid w:val="006C04EB"/>
    <w:rsid w:val="006D326E"/>
    <w:rsid w:val="006E7468"/>
    <w:rsid w:val="006F01B0"/>
    <w:rsid w:val="00711925"/>
    <w:rsid w:val="007324CE"/>
    <w:rsid w:val="00757925"/>
    <w:rsid w:val="00761F7A"/>
    <w:rsid w:val="00763DE0"/>
    <w:rsid w:val="0079755B"/>
    <w:rsid w:val="007C0B12"/>
    <w:rsid w:val="007D13DF"/>
    <w:rsid w:val="007D5DF8"/>
    <w:rsid w:val="007D7920"/>
    <w:rsid w:val="00807CEA"/>
    <w:rsid w:val="00833D60"/>
    <w:rsid w:val="008465B1"/>
    <w:rsid w:val="00874C22"/>
    <w:rsid w:val="008940DA"/>
    <w:rsid w:val="008A57D4"/>
    <w:rsid w:val="008C407D"/>
    <w:rsid w:val="008D31DF"/>
    <w:rsid w:val="00901B8A"/>
    <w:rsid w:val="00902466"/>
    <w:rsid w:val="00907976"/>
    <w:rsid w:val="00911467"/>
    <w:rsid w:val="00914E1A"/>
    <w:rsid w:val="00927144"/>
    <w:rsid w:val="009400C6"/>
    <w:rsid w:val="00965B9B"/>
    <w:rsid w:val="00965E2E"/>
    <w:rsid w:val="00974889"/>
    <w:rsid w:val="009B01F4"/>
    <w:rsid w:val="009B2AEC"/>
    <w:rsid w:val="009B5277"/>
    <w:rsid w:val="009B7606"/>
    <w:rsid w:val="009C403F"/>
    <w:rsid w:val="009E26CC"/>
    <w:rsid w:val="009E6AF3"/>
    <w:rsid w:val="00A02161"/>
    <w:rsid w:val="00A07BFD"/>
    <w:rsid w:val="00A209F9"/>
    <w:rsid w:val="00A20ECD"/>
    <w:rsid w:val="00A266BB"/>
    <w:rsid w:val="00A375C9"/>
    <w:rsid w:val="00A772C9"/>
    <w:rsid w:val="00A80FE9"/>
    <w:rsid w:val="00A877EB"/>
    <w:rsid w:val="00A979C2"/>
    <w:rsid w:val="00AB1D10"/>
    <w:rsid w:val="00AF0393"/>
    <w:rsid w:val="00B0054A"/>
    <w:rsid w:val="00B031B5"/>
    <w:rsid w:val="00B37ECE"/>
    <w:rsid w:val="00B55ABA"/>
    <w:rsid w:val="00B63D22"/>
    <w:rsid w:val="00B67FC1"/>
    <w:rsid w:val="00B76A4E"/>
    <w:rsid w:val="00B878A5"/>
    <w:rsid w:val="00BA0A35"/>
    <w:rsid w:val="00BA45B0"/>
    <w:rsid w:val="00BB11D1"/>
    <w:rsid w:val="00BD0021"/>
    <w:rsid w:val="00C01CB0"/>
    <w:rsid w:val="00C310EB"/>
    <w:rsid w:val="00C3153C"/>
    <w:rsid w:val="00C31CF9"/>
    <w:rsid w:val="00C815EB"/>
    <w:rsid w:val="00D34D63"/>
    <w:rsid w:val="00D432C5"/>
    <w:rsid w:val="00D56147"/>
    <w:rsid w:val="00D76402"/>
    <w:rsid w:val="00DB2AE3"/>
    <w:rsid w:val="00DC69C3"/>
    <w:rsid w:val="00DD2C26"/>
    <w:rsid w:val="00DF0372"/>
    <w:rsid w:val="00E25DAA"/>
    <w:rsid w:val="00F13843"/>
    <w:rsid w:val="00F4148F"/>
    <w:rsid w:val="00F44F42"/>
    <w:rsid w:val="00F71CD3"/>
    <w:rsid w:val="00F82C9A"/>
    <w:rsid w:val="00F96ACE"/>
    <w:rsid w:val="00FB46F9"/>
    <w:rsid w:val="00FC2125"/>
    <w:rsid w:val="00FF2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11EA"/>
  <w15:docId w15:val="{1613E274-C610-4CE9-AAA3-B9C291C1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004661"/>
      <w:spacing w:val="5"/>
      <w:kern w:val="28"/>
      <w:sz w:val="72"/>
      <w:szCs w:val="28"/>
      <w:lang w:eastAsia="en-US"/>
    </w:rPr>
  </w:style>
  <w:style w:type="paragraph" w:styleId="Heading2">
    <w:name w:val="heading 2"/>
    <w:basedOn w:val="Normal"/>
    <w:next w:val="Normal"/>
    <w:link w:val="Heading2Char"/>
    <w:uiPriority w:val="3"/>
    <w:qFormat/>
    <w:rsid w:val="00C01CB0"/>
    <w:pPr>
      <w:widowControl w:val="0"/>
      <w:spacing w:after="240" w:line="240" w:lineRule="auto"/>
      <w:outlineLvl w:val="1"/>
    </w:pPr>
    <w:rPr>
      <w:rFonts w:ascii="Calibri" w:eastAsiaTheme="minorEastAsia" w:hAnsi="Calibri"/>
      <w:bCs/>
      <w:color w:val="004661"/>
      <w:sz w:val="56"/>
      <w:szCs w:val="28"/>
      <w:lang w:eastAsia="ja-JP"/>
    </w:rPr>
  </w:style>
  <w:style w:type="paragraph" w:styleId="Heading3">
    <w:name w:val="heading 3"/>
    <w:next w:val="Normal"/>
    <w:link w:val="Heading3Char"/>
    <w:uiPriority w:val="4"/>
    <w:qFormat/>
    <w:rsid w:val="008940DA"/>
    <w:pPr>
      <w:keepNext/>
      <w:keepLines/>
      <w:numPr>
        <w:numId w:val="19"/>
      </w:numPr>
      <w:spacing w:after="40"/>
      <w:ind w:left="7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spacing w:after="4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4661"/>
      <w:spacing w:val="5"/>
      <w:kern w:val="28"/>
      <w:sz w:val="72"/>
      <w:szCs w:val="28"/>
      <w:lang w:eastAsia="en-US"/>
    </w:rPr>
  </w:style>
  <w:style w:type="character" w:customStyle="1" w:styleId="Heading2Char">
    <w:name w:val="Heading 2 Char"/>
    <w:basedOn w:val="DefaultParagraphFont"/>
    <w:link w:val="Heading2"/>
    <w:uiPriority w:val="3"/>
    <w:rsid w:val="00C01CB0"/>
    <w:rPr>
      <w:rFonts w:ascii="Calibri" w:eastAsiaTheme="minorEastAsia" w:hAnsi="Calibri" w:cstheme="minorBidi"/>
      <w:bCs/>
      <w:color w:val="004661"/>
      <w:sz w:val="56"/>
      <w:szCs w:val="28"/>
      <w:lang w:eastAsia="ja-JP"/>
    </w:rPr>
  </w:style>
  <w:style w:type="character" w:customStyle="1" w:styleId="Heading3Char">
    <w:name w:val="Heading 3 Char"/>
    <w:basedOn w:val="DefaultParagraphFont"/>
    <w:link w:val="Heading3"/>
    <w:uiPriority w:val="4"/>
    <w:rsid w:val="008940DA"/>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1D4E61"/>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1D4E61"/>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1D4E61"/>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7"/>
    <w:qFormat/>
    <w:pPr>
      <w:numPr>
        <w:numId w:val="13"/>
      </w:numPr>
      <w:tabs>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13"/>
      </w:numPr>
      <w:tabs>
        <w:tab w:val="num" w:pos="567"/>
      </w:tabs>
      <w:spacing w:before="120" w:after="120"/>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7"/>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1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character" w:styleId="UnresolvedMention">
    <w:name w:val="Unresolved Mention"/>
    <w:basedOn w:val="DefaultParagraphFont"/>
    <w:uiPriority w:val="99"/>
    <w:semiHidden/>
    <w:unhideWhenUsed/>
    <w:rsid w:val="007D7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aterrating.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0179DC0-BF63-4AE5-A1C5-6C1D394FA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F6ADCD4F3A2E49AEA1FCA6B7100E9C" ma:contentTypeVersion="" ma:contentTypeDescription="PDMS Document Site Content Type" ma:contentTypeScope="" ma:versionID="93a5ac7f93fbbc59dbedc84e7f92bc06">
  <xsd:schema xmlns:xsd="http://www.w3.org/2001/XMLSchema" xmlns:xs="http://www.w3.org/2001/XMLSchema" xmlns:p="http://schemas.microsoft.com/office/2006/metadata/properties" xmlns:ns2="00179DC0-BF63-4AE5-A1C5-6C1D394FA555" targetNamespace="http://schemas.microsoft.com/office/2006/metadata/properties" ma:root="true" ma:fieldsID="908c999a8028c8a85d25a920d4b10ad8" ns2:_="">
    <xsd:import namespace="00179DC0-BF63-4AE5-A1C5-6C1D394FA5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9DC0-BF63-4AE5-A1C5-6C1D394FA5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D4BF-3031-417F-BFC0-53707E0CD156}">
  <ds:schemaRefs>
    <ds:schemaRef ds:uri="http://schemas.microsoft.com/sharepoint/v3/contenttype/forms"/>
  </ds:schemaRefs>
</ds:datastoreItem>
</file>

<file path=customXml/itemProps2.xml><?xml version="1.0" encoding="utf-8"?>
<ds:datastoreItem xmlns:ds="http://schemas.openxmlformats.org/officeDocument/2006/customXml" ds:itemID="{701DA3F3-A7B9-4C3A-A827-521703D03BF7}">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00179DC0-BF63-4AE5-A1C5-6C1D394FA555"/>
    <ds:schemaRef ds:uri="http://purl.org/dc/dcmitype/"/>
    <ds:schemaRef ds:uri="http://purl.org/dc/terms/"/>
  </ds:schemaRefs>
</ds:datastoreItem>
</file>

<file path=customXml/itemProps3.xml><?xml version="1.0" encoding="utf-8"?>
<ds:datastoreItem xmlns:ds="http://schemas.openxmlformats.org/officeDocument/2006/customXml" ds:itemID="{A354F7F0-6394-4506-BEE4-45B4152B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9DC0-BF63-4AE5-A1C5-6C1D394FA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7CD15-5655-4523-8907-45BFB47A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WELS Strategic Plan 2022-2025</vt:lpstr>
    </vt:vector>
  </TitlesOfParts>
  <Manager/>
  <Company/>
  <LinksUpToDate>false</LinksUpToDate>
  <CharactersWithSpaces>9169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 Strategic Plan 2022-2025</dc:title>
  <dc:subject>
  </dc:subject>
  <dc:creator>Australian Government Water Rating</dc:creator>
  <cp:keywords>
  </cp:keywords>
  <dc:description>
  </dc:description>
  <cp:lastModifiedBy>Nguyen, Lien</cp:lastModifiedBy>
  <cp:revision>3</cp:revision>
  <cp:lastPrinted>2017-12-21T01:19:00Z</cp:lastPrinted>
  <dcterms:created xsi:type="dcterms:W3CDTF">2022-10-04T22:54:00Z</dcterms:created>
  <dcterms:modified xsi:type="dcterms:W3CDTF">2022-10-18T03:26:00Z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0x010100266966F133664895A6EE3632470D45F50050F6ADCD4F3A2E49AEA1FCA6B7100E9C</vt:lpwstr>
  </property>
</Properties>
</file>